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3" w:rsidRPr="00121597" w:rsidRDefault="005C3421" w:rsidP="00783399">
      <w:pPr>
        <w:ind w:left="-900" w:right="-856"/>
        <w:contextualSpacing/>
        <w:jc w:val="center"/>
        <w:rPr>
          <w:rFonts w:asciiTheme="majorHAnsi" w:hAnsiTheme="majorHAnsi"/>
          <w:b/>
          <w:i/>
          <w:color w:val="8C1A21"/>
          <w:sz w:val="44"/>
          <w:szCs w:val="40"/>
          <w:lang w:val="ca-ES"/>
        </w:rPr>
      </w:pPr>
      <w:bookmarkStart w:id="0" w:name="_GoBack"/>
      <w:bookmarkEnd w:id="0"/>
      <w:r>
        <w:rPr>
          <w:rFonts w:asciiTheme="majorHAnsi" w:hAnsiTheme="majorHAnsi"/>
          <w:b/>
          <w:noProof/>
          <w:color w:val="8C1A21"/>
          <w:sz w:val="52"/>
          <w:szCs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-851535</wp:posOffset>
                </wp:positionV>
                <wp:extent cx="6840220" cy="1019429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1019429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FF878F3" id="Rectangle 2" o:spid="_x0000_s1026" style="position:absolute;margin-left:-60.05pt;margin-top:-67.05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" fillcolor="#ebebeb" stroked="f"/>
            </w:pict>
          </mc:Fallback>
        </mc:AlternateContent>
      </w:r>
      <w:r>
        <w:rPr>
          <w:rFonts w:asciiTheme="majorHAnsi" w:hAnsiTheme="majorHAnsi"/>
          <w:b/>
          <w:noProof/>
          <w:color w:val="8C1A21"/>
          <w:sz w:val="44"/>
          <w:szCs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431800</wp:posOffset>
                </wp:positionV>
                <wp:extent cx="7657465" cy="474980"/>
                <wp:effectExtent l="0" t="0" r="635" b="1270"/>
                <wp:wrapThrough wrapText="bothSides">
                  <wp:wrapPolygon edited="0">
                    <wp:start x="0" y="0"/>
                    <wp:lineTo x="0" y="20791"/>
                    <wp:lineTo x="21548" y="20791"/>
                    <wp:lineTo x="21548" y="0"/>
                    <wp:lineTo x="0" y="0"/>
                  </wp:wrapPolygon>
                </wp:wrapThrough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7465" cy="474980"/>
                        </a:xfrm>
                        <a:prstGeom prst="rect">
                          <a:avLst/>
                        </a:prstGeom>
                        <a:solidFill>
                          <a:srgbClr val="8C1A2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048F0" w:rsidRPr="00367EB6" w:rsidRDefault="00B048F0" w:rsidP="006C0123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Desperta Ferro Ediciones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34pt;width:602.95pt;height:37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KmAg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" fillcolor="#8c1a21" stroked="f">
                <v:textbox inset=",0,,0">
                  <w:txbxContent>
                    <w:p w:rsidR="00B048F0" w:rsidRPr="00367EB6" w:rsidRDefault="00B048F0" w:rsidP="006C0123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</w:rPr>
                        <w:t>Desperta Ferro Ediciones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6F1B65">
        <w:rPr>
          <w:rFonts w:asciiTheme="majorHAnsi" w:hAnsiTheme="majorHAnsi"/>
          <w:b/>
          <w:color w:val="8C1A21"/>
          <w:sz w:val="44"/>
        </w:rPr>
        <w:t xml:space="preserve"> </w:t>
      </w:r>
      <w:r w:rsidR="00B048F0">
        <w:rPr>
          <w:rFonts w:asciiTheme="majorHAnsi" w:hAnsiTheme="majorHAnsi"/>
          <w:b/>
          <w:color w:val="8C1A21"/>
          <w:sz w:val="44"/>
        </w:rPr>
        <w:t>Principio del fin de Hitler en el Frente del Este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876F68" w:rsidRPr="00D467B2" w:rsidRDefault="00B048F0" w:rsidP="00E12103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La </w:t>
      </w:r>
      <w:r w:rsidRPr="00B048F0">
        <w:rPr>
          <w:rFonts w:asciiTheme="majorHAnsi" w:hAnsiTheme="majorHAnsi"/>
          <w:b/>
          <w:i/>
          <w:sz w:val="24"/>
          <w:szCs w:val="24"/>
        </w:rPr>
        <w:t>Tetralogía de Stalingrado</w:t>
      </w:r>
      <w:r>
        <w:rPr>
          <w:rFonts w:asciiTheme="majorHAnsi" w:hAnsiTheme="majorHAnsi"/>
          <w:b/>
          <w:sz w:val="24"/>
          <w:szCs w:val="24"/>
        </w:rPr>
        <w:t xml:space="preserve"> de David Glantz, el máximo especialista sobre el Frente del Este, nos presenta una visión renovada, revolucionaria y exhaustiva de la titánica confrontación germano-soviética a orillas del Volga, punto de inflexión de la Segunda Guerra Mundial. </w:t>
      </w:r>
    </w:p>
    <w:p w:rsidR="0008033A" w:rsidRPr="003913FA" w:rsidRDefault="0008033A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</w:p>
    <w:p w:rsidR="00783399" w:rsidRPr="0046042D" w:rsidRDefault="00F516D6" w:rsidP="00E753EB">
      <w:pPr>
        <w:ind w:left="-902" w:right="-856"/>
        <w:jc w:val="both"/>
        <w:rPr>
          <w:rFonts w:asciiTheme="majorHAnsi" w:hAnsiTheme="majorHAnsi"/>
          <w:sz w:val="20"/>
          <w:szCs w:val="24"/>
        </w:rPr>
      </w:pPr>
      <w:r w:rsidRPr="00444CA5">
        <w:rPr>
          <w:rFonts w:asciiTheme="majorHAnsi" w:hAnsiTheme="majorHAnsi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15240</wp:posOffset>
            </wp:positionV>
            <wp:extent cx="1845310" cy="2808605"/>
            <wp:effectExtent l="25400" t="0" r="8890" b="0"/>
            <wp:wrapSquare wrapText="bothSides"/>
            <wp:docPr id="1" name="Imagen 1" descr=":Cubierta-Carlistas-v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280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1CE">
        <w:rPr>
          <w:rFonts w:asciiTheme="majorHAnsi" w:hAnsiTheme="majorHAnsi"/>
          <w:b/>
          <w:sz w:val="20"/>
          <w:lang w:val="ca-ES"/>
        </w:rPr>
        <w:t>28</w:t>
      </w:r>
      <w:r w:rsidR="00444CA5">
        <w:rPr>
          <w:rFonts w:asciiTheme="majorHAnsi" w:hAnsiTheme="majorHAnsi"/>
          <w:b/>
          <w:sz w:val="20"/>
          <w:lang w:val="ca-ES"/>
        </w:rPr>
        <w:t>-</w:t>
      </w:r>
      <w:r w:rsidR="00CF41CE">
        <w:rPr>
          <w:rFonts w:asciiTheme="majorHAnsi" w:hAnsiTheme="majorHAnsi"/>
          <w:b/>
          <w:sz w:val="20"/>
          <w:lang w:val="ca-ES"/>
        </w:rPr>
        <w:t>11</w:t>
      </w:r>
      <w:r w:rsidR="006818FC" w:rsidRPr="00444CA5">
        <w:rPr>
          <w:rFonts w:asciiTheme="majorHAnsi" w:hAnsiTheme="majorHAnsi"/>
          <w:b/>
          <w:sz w:val="20"/>
          <w:lang w:val="ca-ES"/>
        </w:rPr>
        <w:t>-2017</w:t>
      </w:r>
      <w:r w:rsidR="00A10BE3" w:rsidRPr="0046042D">
        <w:rPr>
          <w:rFonts w:asciiTheme="majorHAnsi" w:hAnsiTheme="majorHAnsi"/>
          <w:sz w:val="20"/>
          <w:lang w:val="ca-ES"/>
        </w:rPr>
        <w:t xml:space="preserve"> </w:t>
      </w:r>
      <w:r w:rsidR="00615C7E" w:rsidRPr="0046042D">
        <w:rPr>
          <w:rFonts w:asciiTheme="majorHAnsi" w:hAnsiTheme="majorHAnsi"/>
          <w:sz w:val="20"/>
          <w:lang w:val="ca-ES"/>
        </w:rPr>
        <w:t>–</w:t>
      </w:r>
      <w:r w:rsidR="00A10BE3" w:rsidRPr="0046042D">
        <w:rPr>
          <w:rFonts w:asciiTheme="majorHAnsi" w:hAnsiTheme="majorHAnsi"/>
          <w:sz w:val="20"/>
          <w:lang w:val="ca-ES"/>
        </w:rPr>
        <w:t xml:space="preserve"> </w:t>
      </w:r>
      <w:r w:rsidR="00783399" w:rsidRPr="0046042D">
        <w:rPr>
          <w:rFonts w:asciiTheme="majorHAnsi" w:hAnsiTheme="majorHAnsi"/>
          <w:sz w:val="20"/>
          <w:szCs w:val="24"/>
        </w:rPr>
        <w:t xml:space="preserve">La editorial Desperta Ferro Ediciones publica </w:t>
      </w:r>
      <w:r w:rsidR="00B048F0">
        <w:rPr>
          <w:rFonts w:asciiTheme="majorHAnsi" w:hAnsiTheme="majorHAnsi"/>
          <w:b/>
          <w:i/>
          <w:sz w:val="20"/>
          <w:szCs w:val="24"/>
        </w:rPr>
        <w:t>A las puertas de Stalingrado</w:t>
      </w:r>
      <w:r w:rsidR="006F1B65" w:rsidRPr="0046042D">
        <w:rPr>
          <w:rFonts w:asciiTheme="majorHAnsi" w:hAnsiTheme="majorHAnsi"/>
          <w:sz w:val="20"/>
          <w:szCs w:val="24"/>
        </w:rPr>
        <w:t>,</w:t>
      </w:r>
      <w:r w:rsidR="00B048F0">
        <w:rPr>
          <w:rFonts w:asciiTheme="majorHAnsi" w:hAnsiTheme="majorHAnsi"/>
          <w:sz w:val="20"/>
          <w:szCs w:val="24"/>
        </w:rPr>
        <w:t xml:space="preserve"> volumen I de la formidable </w:t>
      </w:r>
      <w:r w:rsidR="00B048F0" w:rsidRPr="00B048F0">
        <w:rPr>
          <w:rFonts w:asciiTheme="majorHAnsi" w:hAnsiTheme="majorHAnsi"/>
          <w:i/>
          <w:sz w:val="20"/>
          <w:szCs w:val="24"/>
        </w:rPr>
        <w:t>Tetralogía de Stalingrado</w:t>
      </w:r>
      <w:r w:rsidR="00B048F0">
        <w:rPr>
          <w:rFonts w:asciiTheme="majorHAnsi" w:hAnsiTheme="majorHAnsi"/>
          <w:sz w:val="20"/>
          <w:szCs w:val="24"/>
        </w:rPr>
        <w:t>, la obra magna de</w:t>
      </w:r>
      <w:r w:rsidR="006F1B65" w:rsidRPr="0046042D">
        <w:rPr>
          <w:rFonts w:asciiTheme="majorHAnsi" w:hAnsiTheme="majorHAnsi"/>
          <w:sz w:val="20"/>
          <w:szCs w:val="24"/>
        </w:rPr>
        <w:t xml:space="preserve"> </w:t>
      </w:r>
      <w:hyperlink r:id="rId9" w:history="1">
        <w:r w:rsidR="00B048F0" w:rsidRPr="00B048F0">
          <w:rPr>
            <w:rStyle w:val="Hipervnculo"/>
            <w:rFonts w:asciiTheme="majorHAnsi" w:hAnsiTheme="majorHAnsi"/>
            <w:sz w:val="20"/>
            <w:szCs w:val="24"/>
          </w:rPr>
          <w:t>David M. Glantz</w:t>
        </w:r>
      </w:hyperlink>
      <w:r w:rsidR="00B048F0">
        <w:rPr>
          <w:rFonts w:asciiTheme="majorHAnsi" w:hAnsiTheme="majorHAnsi"/>
          <w:sz w:val="20"/>
          <w:szCs w:val="24"/>
        </w:rPr>
        <w:t xml:space="preserve"> y el trabajo de referencia imprescindible sobre la batalla. </w:t>
      </w:r>
    </w:p>
    <w:p w:rsidR="00B048F0" w:rsidRPr="00B048F0" w:rsidRDefault="00B048F0" w:rsidP="00B048F0">
      <w:pPr>
        <w:pStyle w:val="NormalWeb"/>
        <w:spacing w:beforeLines="0" w:afterLines="0"/>
        <w:ind w:left="-902" w:right="-902"/>
        <w:jc w:val="both"/>
        <w:textAlignment w:val="baseline"/>
        <w:rPr>
          <w:rFonts w:asciiTheme="majorHAnsi" w:hAnsiTheme="majorHAnsi"/>
          <w:szCs w:val="28"/>
        </w:rPr>
      </w:pPr>
      <w:r w:rsidRPr="00B048F0">
        <w:rPr>
          <w:rFonts w:asciiTheme="majorHAnsi" w:hAnsiTheme="majorHAnsi"/>
          <w:szCs w:val="28"/>
        </w:rPr>
        <w:t>La confrontación entre las fuerzas alemanas y soviéticas en</w:t>
      </w:r>
      <w:r>
        <w:rPr>
          <w:rFonts w:asciiTheme="majorHAnsi" w:hAnsiTheme="majorHAnsi"/>
          <w:szCs w:val="28"/>
        </w:rPr>
        <w:t xml:space="preserve"> </w:t>
      </w:r>
      <w:r w:rsidRPr="00B048F0">
        <w:rPr>
          <w:rStyle w:val="Textoennegrita"/>
          <w:rFonts w:asciiTheme="majorHAnsi" w:hAnsiTheme="majorHAnsi"/>
          <w:b w:val="0"/>
          <w:bCs/>
          <w:szCs w:val="28"/>
          <w:bdr w:val="none" w:sz="0" w:space="0" w:color="auto" w:frame="1"/>
        </w:rPr>
        <w:t>Stalingrado</w:t>
      </w:r>
      <w:r w:rsidRPr="00B048F0">
        <w:rPr>
          <w:rFonts w:asciiTheme="majorHAnsi" w:hAnsiTheme="majorHAnsi"/>
          <w:szCs w:val="28"/>
        </w:rPr>
        <w:t xml:space="preserve"> fue un choque titánico, a una escala sin precedentes, punto de inflexión en la </w:t>
      </w:r>
      <w:r w:rsidRPr="00B048F0">
        <w:rPr>
          <w:rStyle w:val="Textoennegrita"/>
          <w:rFonts w:asciiTheme="majorHAnsi" w:hAnsiTheme="majorHAnsi"/>
          <w:b w:val="0"/>
          <w:bCs/>
          <w:szCs w:val="28"/>
          <w:bdr w:val="none" w:sz="0" w:space="0" w:color="auto" w:frame="1"/>
        </w:rPr>
        <w:t>Segunda Guerra Mundial</w:t>
      </w:r>
      <w:r w:rsidRPr="00B048F0">
        <w:rPr>
          <w:rFonts w:asciiTheme="majorHAnsi" w:hAnsiTheme="majorHAnsi"/>
          <w:szCs w:val="28"/>
        </w:rPr>
        <w:t xml:space="preserve"> y símbolo duradero de su devastación, a la que se han dedicado abundantes obras. Y, sin embargo, es mucha la información que se ha malinterpretado u ocultado sobre la misma, tal y como demuestra </w:t>
      </w:r>
      <w:r w:rsidRPr="00B048F0">
        <w:rPr>
          <w:rStyle w:val="Textoennegrita"/>
          <w:rFonts w:asciiTheme="majorHAnsi" w:hAnsiTheme="majorHAnsi"/>
          <w:b w:val="0"/>
          <w:bCs/>
          <w:szCs w:val="28"/>
          <w:bdr w:val="none" w:sz="0" w:space="0" w:color="auto" w:frame="1"/>
        </w:rPr>
        <w:t>David M. Glantz</w:t>
      </w:r>
      <w:r w:rsidRPr="00B048F0">
        <w:rPr>
          <w:rFonts w:asciiTheme="majorHAnsi" w:hAnsiTheme="majorHAnsi"/>
          <w:szCs w:val="28"/>
        </w:rPr>
        <w:t>, autor de </w:t>
      </w:r>
      <w:hyperlink r:id="rId10" w:tgtFrame="_blank" w:history="1">
        <w:r w:rsidRPr="00B048F0">
          <w:rPr>
            <w:rStyle w:val="nfasis"/>
            <w:rFonts w:asciiTheme="majorHAnsi" w:hAnsiTheme="majorHAnsi"/>
            <w:iCs/>
            <w:szCs w:val="28"/>
            <w:bdr w:val="none" w:sz="0" w:space="0" w:color="auto" w:frame="1"/>
          </w:rPr>
          <w:t>Choque de Titanes. La victoria del Ejército rojo sobre Hitler</w:t>
        </w:r>
      </w:hyperlink>
      <w:r w:rsidRPr="00B048F0">
        <w:rPr>
          <w:rFonts w:asciiTheme="majorHAnsi" w:hAnsiTheme="majorHAnsi"/>
          <w:szCs w:val="28"/>
        </w:rPr>
        <w:t> y autoridad mundial sobre el Frente del Este y el Ejército Rojo durante la Segunda Guerra Mundial. </w:t>
      </w:r>
      <w:r w:rsidRPr="00B048F0">
        <w:rPr>
          <w:rStyle w:val="nfasis"/>
          <w:rFonts w:asciiTheme="majorHAnsi" w:hAnsiTheme="majorHAnsi"/>
          <w:bCs/>
          <w:iCs/>
          <w:szCs w:val="28"/>
          <w:bdr w:val="none" w:sz="0" w:space="0" w:color="auto" w:frame="1"/>
        </w:rPr>
        <w:t>A las puertas de Stalingrado</w:t>
      </w:r>
      <w:r w:rsidRPr="00B048F0">
        <w:rPr>
          <w:rFonts w:asciiTheme="majorHAnsi" w:hAnsiTheme="majorHAnsi"/>
          <w:szCs w:val="28"/>
        </w:rPr>
        <w:t>, primer volumen de su obra magna, la </w:t>
      </w:r>
      <w:r w:rsidRPr="00B048F0">
        <w:rPr>
          <w:rStyle w:val="nfasis"/>
          <w:rFonts w:asciiTheme="majorHAnsi" w:hAnsiTheme="majorHAnsi"/>
          <w:bCs/>
          <w:iCs/>
          <w:szCs w:val="28"/>
          <w:bdr w:val="none" w:sz="0" w:space="0" w:color="auto" w:frame="1"/>
        </w:rPr>
        <w:t>Tetralogía de Stalingrado</w:t>
      </w:r>
      <w:r w:rsidRPr="00B048F0">
        <w:rPr>
          <w:rFonts w:asciiTheme="majorHAnsi" w:hAnsiTheme="majorHAnsi"/>
          <w:szCs w:val="28"/>
        </w:rPr>
        <w:t xml:space="preserve">, proporciona la narración definitiva de la fase de apertura la campaña con el respaldo de fuentes </w:t>
      </w:r>
      <w:r>
        <w:rPr>
          <w:rFonts w:asciiTheme="majorHAnsi" w:hAnsiTheme="majorHAnsi"/>
          <w:szCs w:val="28"/>
        </w:rPr>
        <w:t xml:space="preserve">recientemente desclasificadas, </w:t>
      </w:r>
      <w:r w:rsidRPr="00B048F0">
        <w:rPr>
          <w:rFonts w:asciiTheme="majorHAnsi" w:hAnsiTheme="majorHAnsi"/>
          <w:szCs w:val="28"/>
        </w:rPr>
        <w:t>antes desconocidas o poco estudiadas.</w:t>
      </w:r>
    </w:p>
    <w:p w:rsidR="00B048F0" w:rsidRDefault="00B048F0" w:rsidP="00B048F0">
      <w:pPr>
        <w:pStyle w:val="NormalWeb"/>
        <w:spacing w:beforeLines="0" w:afterLines="0"/>
        <w:ind w:left="-902" w:right="-902"/>
        <w:jc w:val="both"/>
        <w:textAlignment w:val="baseline"/>
        <w:rPr>
          <w:rFonts w:asciiTheme="majorHAnsi" w:hAnsiTheme="majorHAnsi"/>
          <w:szCs w:val="28"/>
        </w:rPr>
      </w:pPr>
      <w:r w:rsidRPr="00B048F0">
        <w:rPr>
          <w:rFonts w:asciiTheme="majorHAnsi" w:hAnsiTheme="majorHAnsi"/>
          <w:szCs w:val="28"/>
        </w:rPr>
        <w:t>La obra comienza con un exhaustivo estudio de la situación estratégica de la Wehrmacht y del Ejército Rojo antes de la campaña, la disposición de sus fuerzas, los planes de batalla, los comandantes al frente de los ejércitos, etc. para, a continuación, trazar una panorámica de las operaciones previas a la batalla de Stalingrado, desde la </w:t>
      </w:r>
      <w:r w:rsidRPr="00B048F0">
        <w:rPr>
          <w:rFonts w:asciiTheme="majorHAnsi" w:hAnsiTheme="majorHAnsi"/>
          <w:szCs w:val="28"/>
          <w:bdr w:val="none" w:sz="0" w:space="0" w:color="auto" w:frame="1"/>
        </w:rPr>
        <w:t>segunda batalla de Járkov</w:t>
      </w:r>
      <w:r w:rsidRPr="00B048F0">
        <w:rPr>
          <w:rFonts w:asciiTheme="majorHAnsi" w:hAnsiTheme="majorHAnsi"/>
          <w:szCs w:val="28"/>
        </w:rPr>
        <w:t> a la Operación Fridericus. Acto seguido, David Glantz nos sumerge de lleno en el cúmulo de operaciones militares, cada vez más tenazmente contestadas por el Ejército Rojo, que terminaron por llevar a la Werhmacht a las orillas del Volga y a las puertas de Stalingrado a comienzos de septiembre de 1942.</w:t>
      </w:r>
      <w:r>
        <w:rPr>
          <w:rFonts w:asciiTheme="majorHAnsi" w:hAnsiTheme="majorHAnsi"/>
          <w:szCs w:val="28"/>
        </w:rPr>
        <w:t xml:space="preserve"> </w:t>
      </w:r>
    </w:p>
    <w:p w:rsidR="00B048F0" w:rsidRPr="00B048F0" w:rsidRDefault="00B048F0" w:rsidP="00B048F0">
      <w:pPr>
        <w:pStyle w:val="NormalWeb"/>
        <w:spacing w:beforeLines="0" w:afterLines="0"/>
        <w:ind w:left="-902" w:right="-902"/>
        <w:jc w:val="both"/>
        <w:textAlignment w:val="baseline"/>
        <w:rPr>
          <w:rFonts w:asciiTheme="majorHAnsi" w:hAnsiTheme="majorHAnsi"/>
          <w:szCs w:val="28"/>
        </w:rPr>
      </w:pPr>
      <w:r w:rsidRPr="00B048F0">
        <w:rPr>
          <w:rFonts w:asciiTheme="majorHAnsi" w:hAnsiTheme="majorHAnsi"/>
          <w:szCs w:val="28"/>
        </w:rPr>
        <w:t>David Glantz combina los informes oficiales diarios de ambos bandos para producir una majestuosa obra de minucioso detalle y nuevas interpretaciones. Una crónica reveladora, que principia una tetralogía –cuyos siguientes volúmenes describirán la encarnizada batalla por ciudad y la exitosa contraofensiva soviética– que revisa y amplía drásticamente nuestra comprensión de la batalla de Stalingrado, una de las campañas militares más decisivas en la Historia de la humanidad.</w:t>
      </w:r>
    </w:p>
    <w:p w:rsidR="000061C7" w:rsidRPr="0046042D" w:rsidRDefault="00444CA5" w:rsidP="00E753EB">
      <w:pPr>
        <w:ind w:left="-902" w:right="-856"/>
        <w:jc w:val="both"/>
        <w:rPr>
          <w:rFonts w:asciiTheme="majorHAnsi" w:hAnsiTheme="majorHAnsi" w:cs="LiberationSerif-Regular"/>
          <w:color w:val="000000"/>
          <w:sz w:val="20"/>
          <w:szCs w:val="24"/>
        </w:rPr>
      </w:pPr>
      <w:r>
        <w:rPr>
          <w:rFonts w:asciiTheme="majorHAnsi" w:hAnsiTheme="majorHAnsi" w:cs="Helvetica"/>
          <w:sz w:val="20"/>
          <w:szCs w:val="20"/>
          <w:lang w:val="ca-ES"/>
        </w:rPr>
        <w:t xml:space="preserve">El libro estará </w:t>
      </w:r>
      <w:r w:rsidRPr="00C80DFB">
        <w:rPr>
          <w:rFonts w:asciiTheme="majorHAnsi" w:hAnsiTheme="majorHAnsi" w:cs="Helvetica"/>
          <w:b/>
          <w:sz w:val="20"/>
          <w:szCs w:val="20"/>
          <w:lang w:val="ca-ES"/>
        </w:rPr>
        <w:t>disponible el</w:t>
      </w:r>
      <w:r>
        <w:rPr>
          <w:rFonts w:asciiTheme="majorHAnsi" w:hAnsiTheme="majorHAnsi" w:cs="Helvetica"/>
          <w:sz w:val="20"/>
          <w:szCs w:val="20"/>
          <w:lang w:val="ca-ES"/>
        </w:rPr>
        <w:t xml:space="preserve"> </w:t>
      </w:r>
      <w:r w:rsidR="002725E2">
        <w:rPr>
          <w:rFonts w:asciiTheme="majorHAnsi" w:hAnsiTheme="majorHAnsi" w:cs="Helvetica"/>
          <w:b/>
          <w:sz w:val="20"/>
          <w:szCs w:val="20"/>
          <w:lang w:val="ca-ES"/>
        </w:rPr>
        <w:t>viernes</w:t>
      </w:r>
      <w:r w:rsidRPr="00444CA5">
        <w:rPr>
          <w:rFonts w:asciiTheme="majorHAnsi" w:hAnsiTheme="majorHAnsi" w:cs="Helvetica"/>
          <w:b/>
          <w:sz w:val="20"/>
          <w:szCs w:val="20"/>
          <w:lang w:val="ca-ES"/>
        </w:rPr>
        <w:t xml:space="preserve"> </w:t>
      </w:r>
      <w:r w:rsidR="00B048F0">
        <w:rPr>
          <w:rFonts w:asciiTheme="majorHAnsi" w:hAnsiTheme="majorHAnsi" w:cs="Helvetica"/>
          <w:b/>
          <w:sz w:val="20"/>
          <w:szCs w:val="20"/>
          <w:lang w:val="ca-ES"/>
        </w:rPr>
        <w:t>1</w:t>
      </w:r>
      <w:r w:rsidR="000F341A">
        <w:rPr>
          <w:rFonts w:asciiTheme="majorHAnsi" w:hAnsiTheme="majorHAnsi" w:cs="Helvetica"/>
          <w:b/>
          <w:sz w:val="20"/>
          <w:szCs w:val="20"/>
          <w:lang w:val="ca-ES"/>
        </w:rPr>
        <w:t xml:space="preserve"> de </w:t>
      </w:r>
      <w:r w:rsidR="00B048F0">
        <w:rPr>
          <w:rFonts w:asciiTheme="majorHAnsi" w:hAnsiTheme="majorHAnsi" w:cs="Helvetica"/>
          <w:b/>
          <w:sz w:val="20"/>
          <w:szCs w:val="20"/>
          <w:lang w:val="ca-ES"/>
        </w:rPr>
        <w:t>diciembre</w:t>
      </w:r>
      <w:r>
        <w:rPr>
          <w:rFonts w:asciiTheme="majorHAnsi" w:hAnsiTheme="majorHAnsi" w:cs="Helvetica"/>
          <w:sz w:val="20"/>
          <w:szCs w:val="20"/>
          <w:lang w:val="ca-ES"/>
        </w:rPr>
        <w:t xml:space="preserve">. </w:t>
      </w:r>
      <w:r w:rsidR="00B612ED" w:rsidRPr="0046042D">
        <w:rPr>
          <w:rFonts w:asciiTheme="majorHAnsi" w:hAnsiTheme="majorHAnsi" w:cs="Helvetica"/>
          <w:sz w:val="20"/>
          <w:szCs w:val="20"/>
          <w:lang w:val="ca-ES"/>
        </w:rPr>
        <w:t xml:space="preserve">Pincha en </w:t>
      </w:r>
      <w:r w:rsidR="000061C7" w:rsidRPr="0046042D">
        <w:rPr>
          <w:rFonts w:asciiTheme="majorHAnsi" w:hAnsiTheme="majorHAnsi" w:cs="Helvetica"/>
          <w:sz w:val="20"/>
          <w:szCs w:val="20"/>
          <w:lang w:val="ca-ES"/>
        </w:rPr>
        <w:t xml:space="preserve">este </w:t>
      </w:r>
      <w:hyperlink r:id="rId11" w:history="1">
        <w:r w:rsidR="000061C7" w:rsidRPr="0046042D">
          <w:rPr>
            <w:rStyle w:val="Hipervnculo"/>
            <w:rFonts w:asciiTheme="majorHAnsi" w:hAnsiTheme="majorHAnsi" w:cs="Helvetica"/>
            <w:sz w:val="20"/>
            <w:szCs w:val="20"/>
            <w:lang w:val="ca-ES"/>
          </w:rPr>
          <w:t>enlace</w:t>
        </w:r>
      </w:hyperlink>
      <w:r w:rsidR="00B612ED" w:rsidRPr="0046042D">
        <w:rPr>
          <w:rFonts w:asciiTheme="majorHAnsi" w:hAnsiTheme="majorHAnsi" w:cs="Helvetica"/>
          <w:sz w:val="20"/>
          <w:szCs w:val="20"/>
          <w:lang w:val="ca-ES"/>
        </w:rPr>
        <w:t xml:space="preserve"> para obtener más información sobre la obra y </w:t>
      </w:r>
      <w:hyperlink r:id="rId12" w:anchor="catalogo-de-publicaciones" w:history="1">
        <w:r w:rsidR="00B612ED" w:rsidRPr="0046042D">
          <w:rPr>
            <w:rStyle w:val="Hipervnculo"/>
            <w:rFonts w:asciiTheme="majorHAnsi" w:hAnsiTheme="majorHAnsi" w:cs="Helvetica"/>
            <w:sz w:val="20"/>
            <w:szCs w:val="20"/>
            <w:lang w:val="ca-ES"/>
          </w:rPr>
          <w:t>aquí</w:t>
        </w:r>
      </w:hyperlink>
      <w:r w:rsidR="00B612ED" w:rsidRPr="0046042D">
        <w:rPr>
          <w:rFonts w:asciiTheme="majorHAnsi" w:hAnsiTheme="majorHAnsi" w:cs="Helvetica"/>
          <w:sz w:val="20"/>
          <w:szCs w:val="20"/>
          <w:lang w:val="ca-ES"/>
        </w:rPr>
        <w:t xml:space="preserve"> para consultar nuestro catálogo. </w:t>
      </w:r>
    </w:p>
    <w:p w:rsidR="00A10BE3" w:rsidRPr="00FB42C9" w:rsidRDefault="000061C7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/>
        </w:rPr>
        <w:t>Contacto y entrevistas:</w:t>
      </w:r>
    </w:p>
    <w:p w:rsidR="00A10BE3" w:rsidRPr="00FB42C9" w:rsidRDefault="00CE208C" w:rsidP="006F1B65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Javier Gómez </w:t>
      </w:r>
      <w:r w:rsidR="00337D31">
        <w:rPr>
          <w:rFonts w:asciiTheme="majorHAnsi" w:hAnsiTheme="majorHAnsi"/>
          <w:sz w:val="20"/>
          <w:szCs w:val="20"/>
        </w:rPr>
        <w:t>Valero - Comunicación</w:t>
      </w:r>
      <w:r w:rsidR="00FB42C9">
        <w:rPr>
          <w:rFonts w:asciiTheme="majorHAnsi" w:hAnsiTheme="majorHAnsi"/>
          <w:sz w:val="20"/>
          <w:szCs w:val="20"/>
        </w:rPr>
        <w:br/>
      </w:r>
      <w:r w:rsidR="00A10BE3" w:rsidRPr="00FB42C9">
        <w:rPr>
          <w:rFonts w:asciiTheme="majorHAnsi" w:hAnsiTheme="majorHAnsi"/>
          <w:sz w:val="20"/>
          <w:szCs w:val="20"/>
        </w:rPr>
        <w:t>T</w:t>
      </w:r>
      <w:r w:rsidR="008F6CFB" w:rsidRPr="00FB42C9">
        <w:rPr>
          <w:rFonts w:asciiTheme="majorHAnsi" w:hAnsiTheme="majorHAnsi"/>
          <w:sz w:val="20"/>
          <w:szCs w:val="20"/>
        </w:rPr>
        <w:t>el</w:t>
      </w:r>
      <w:r w:rsidR="00A10BE3" w:rsidRPr="00FB42C9">
        <w:rPr>
          <w:rFonts w:asciiTheme="majorHAnsi" w:hAnsiTheme="majorHAnsi"/>
          <w:sz w:val="20"/>
          <w:szCs w:val="20"/>
        </w:rPr>
        <w:t>.  </w:t>
      </w:r>
      <w:r>
        <w:rPr>
          <w:rFonts w:asciiTheme="majorHAnsi" w:hAnsiTheme="majorHAnsi"/>
          <w:sz w:val="20"/>
          <w:szCs w:val="20"/>
        </w:rPr>
        <w:t>658 160 824</w:t>
      </w:r>
      <w:r w:rsidR="000061C7" w:rsidRPr="00FB42C9">
        <w:rPr>
          <w:rFonts w:asciiTheme="majorHAnsi" w:hAnsiTheme="majorHAnsi"/>
          <w:sz w:val="20"/>
          <w:szCs w:val="20"/>
        </w:rPr>
        <w:t xml:space="preserve"> - </w:t>
      </w:r>
      <w:r w:rsidR="00E57C01">
        <w:rPr>
          <w:rFonts w:asciiTheme="majorHAnsi" w:hAnsiTheme="majorHAnsi"/>
          <w:sz w:val="20"/>
          <w:szCs w:val="20"/>
        </w:rPr>
        <w:t>comunicacion</w:t>
      </w:r>
      <w:r>
        <w:rPr>
          <w:rFonts w:asciiTheme="majorHAnsi" w:hAnsiTheme="majorHAnsi"/>
          <w:sz w:val="20"/>
          <w:szCs w:val="20"/>
        </w:rPr>
        <w:t>@despertaferro-ediciones.com</w:t>
      </w:r>
    </w:p>
    <w:p w:rsidR="001A1A0E" w:rsidRDefault="001A1A0E" w:rsidP="00E12103">
      <w:pPr>
        <w:ind w:left="-900" w:right="-856"/>
        <w:contextualSpacing/>
        <w:jc w:val="right"/>
        <w:rPr>
          <w:rFonts w:ascii="Times New Roman" w:hAnsi="Times New Roman" w:cs="Times New Roman"/>
          <w:b/>
          <w:sz w:val="16"/>
          <w:szCs w:val="18"/>
          <w:lang w:val="ca-ES"/>
        </w:rPr>
      </w:pPr>
    </w:p>
    <w:p w:rsidR="00A10BE3" w:rsidRPr="00FB42C9" w:rsidRDefault="00A10BE3" w:rsidP="009D7795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777478" w:rsidRPr="00AA04EE" w:rsidRDefault="005C3421" w:rsidP="009D7795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1605915</wp:posOffset>
                </wp:positionV>
                <wp:extent cx="6840220" cy="685800"/>
                <wp:effectExtent l="0" t="0" r="0" b="0"/>
                <wp:wrapNone/>
                <wp:docPr id="10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8F0" w:rsidRPr="00E12103" w:rsidRDefault="00B048F0" w:rsidP="00E12103">
                            <w:pPr>
                              <w:jc w:val="center"/>
                              <w:rPr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E1210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90"/>
                                <w:szCs w:val="90"/>
                                <w:lang w:val="ca-ES"/>
                              </w:rPr>
                              <w:t>NOTA DE PRENSA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-60.05pt;margin-top:126.4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" filled="f" stroked="f" strokeweight=".5pt">
                <v:path arrowok="t"/>
                <v:textbox>
                  <w:txbxContent>
                    <w:p w:rsidR="00B048F0" w:rsidRPr="00E12103" w:rsidRDefault="00B048F0" w:rsidP="00E12103">
                      <w:pPr>
                        <w:jc w:val="center"/>
                        <w:rPr>
                          <w:color w:val="FFFFFF" w:themeColor="background1"/>
                          <w:sz w:val="90"/>
                          <w:szCs w:val="90"/>
                        </w:rPr>
                      </w:pPr>
                      <w:r w:rsidRPr="00E12103">
                        <w:rPr>
                          <w:rFonts w:asciiTheme="majorHAnsi" w:hAnsiTheme="majorHAnsi"/>
                          <w:b/>
                          <w:color w:val="FFFFFF" w:themeColor="background1"/>
                          <w:sz w:val="90"/>
                          <w:szCs w:val="90"/>
                          <w:lang w:val="ca-ES"/>
                        </w:rPr>
                        <w:t>NOTA DE PRENSA</w:t>
                      </w:r>
                    </w:p>
                  </w:txbxContent>
                </v:textbox>
              </v:shape>
            </w:pict>
          </mc:Fallback>
        </mc:AlternateContent>
      </w:r>
      <w:r w:rsidR="000F341A"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1410335</wp:posOffset>
            </wp:positionV>
            <wp:extent cx="779780" cy="1256665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1096645</wp:posOffset>
                </wp:positionV>
                <wp:extent cx="6840220" cy="628015"/>
                <wp:effectExtent l="0" t="0" r="0" b="0"/>
                <wp:wrapNone/>
                <wp:docPr id="8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8" style="position:absolute;left:0;text-align:left;margin-left:-62.35pt;margin-top:86.35pt;width:538.6pt;height: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" filled="f" stroked="f" strokeweight="2pt">
                <v:path arrowok="t"/>
                <v:textbox>
                  <w:txbxContent/>
                </v:textbox>
              </v:rect>
            </w:pict>
          </mc:Fallback>
        </mc:AlternateContent>
      </w:r>
      <w:r>
        <w:rPr>
          <w:rFonts w:asciiTheme="majorHAnsi" w:hAnsiTheme="majorHAnsi" w:cs="LiberationSerif-Regular"/>
          <w:noProof/>
          <w:color w:val="000000"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1181735</wp:posOffset>
                </wp:positionV>
                <wp:extent cx="114300" cy="114300"/>
                <wp:effectExtent l="381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">
                        <w:txbxContent>
                          <w:p w:rsidR="00B048F0" w:rsidRPr="00807B9A" w:rsidRDefault="00B048F0" w:rsidP="003B5FAB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C7897"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</w:t>
                            </w:r>
                            <w:r w:rsidRPr="009C7897"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 w:rsidRPr="000F341A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273810" cy="262255"/>
                                  <wp:effectExtent l="25400" t="0" r="0" b="0"/>
                                  <wp:docPr id="9" name="Imagen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3810" cy="262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-63pt;margin-top:93.0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" filled="f" stroked="f">
                <v:textbox style="mso-next-textbox:#Rectángulo 6" inset=",7.2pt,,7.2pt">
                  <w:txbxContent>
                    <w:p w:rsidR="00B048F0" w:rsidRPr="00807B9A" w:rsidRDefault="00B048F0" w:rsidP="003B5FAB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C7897"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</w:t>
                      </w:r>
                      <w:r w:rsidRPr="009C7897"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 w:rsidRPr="000F341A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273810" cy="262255"/>
                            <wp:effectExtent l="25400" t="0" r="0" b="0"/>
                            <wp:docPr id="9" name="Imagen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3810" cy="262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8498205</wp:posOffset>
                </wp:positionV>
                <wp:extent cx="6840220" cy="634365"/>
                <wp:effectExtent l="0" t="0" r="0" b="0"/>
                <wp:wrapNone/>
                <wp:docPr id="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64920" cy="26289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GOp8nqdAgAAiQUAAA4AAAAAAAAAAAAAAAAALgIA&#10;AGRycy9lMm9Eb2MueG1sUEsBAi0AFAAGAAgAAAAhAEPdgFfjAAAADgEAAA8AAAAAAAAAAAAAAAAA&#10;9wQAAGRycy9kb3ducmV2LnhtbFBLBQYAAAAABAAEAPMAAAAHBgAAAAA=&#10;" filled="f" stroked="f" strokeweight="2pt">
                <v:path arrowok="t"/>
                <v:textbox>
                  <w:txbxContent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64920" cy="26289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8498205</wp:posOffset>
                </wp:positionV>
                <wp:extent cx="6840220" cy="634365"/>
                <wp:effectExtent l="0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64920" cy="26289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eunQIAAIk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CgXp66dAgAAiQUAAA4AAAAAAAAAAAAAAAAALgIA&#10;AGRycy9lMm9Eb2MueG1sUEsBAi0AFAAGAAgAAAAhAEPdgFfjAAAADgEAAA8AAAAAAAAAAAAAAAAA&#10;9wQAAGRycy9kb3ducmV2LnhtbFBLBQYAAAAABAAEAPMAAAAHBgAAAAA=&#10;" filled="f" stroked="f" strokeweight="2pt">
                <v:path arrowok="t"/>
                <v:textbox>
                  <w:txbxContent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64920" cy="26289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10BE3" w:rsidRPr="00FB42C9">
        <w:rPr>
          <w:rFonts w:asciiTheme="majorHAnsi" w:hAnsiTheme="majorHAnsi" w:cs="Times New Roman"/>
          <w:sz w:val="16"/>
          <w:szCs w:val="18"/>
          <w:lang w:val="ca-ES"/>
        </w:rPr>
        <w:t>Desperta Fer</w:t>
      </w:r>
      <w:r w:rsidR="00D36390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Ediciones es una editorial independiente fundada en 2010 por tres historiadores que decidieron hacer de su vocación, la Historia, un modo de vida y apostar por un producto cultural de calidad y en papel. Actualmente la editorial cuenta con </w:t>
      </w:r>
      <w:r w:rsidR="003C517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cuatro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cabeceras de revistas (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Contemporánea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 e Historia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 y desde 20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15 con una línea de libros en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la que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apenas dos años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han visto la luz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una quincena de títulos entre los que destacan obras de referencia como </w:t>
      </w:r>
      <w:r w:rsidR="001A1A0E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Ciudades del Mundo Antiguo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Jean Claude Golvin, </w:t>
      </w:r>
      <w:r w:rsidR="001A1A0E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La guerra en Grecia y Roma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Peter Connolly o </w:t>
      </w:r>
      <w:r w:rsidR="001A1A0E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Choque de titanes. La victoria del Ejército Rojo sobre Hitler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C199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David Glantz 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(catálogo completo </w:t>
      </w:r>
      <w:hyperlink r:id="rId15" w:anchor="catalogo-de-publicaciones" w:history="1">
        <w:r w:rsidR="001A1A0E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esta forma, lo que comenzó como un modelo de autoempleo se ha convertido en un motor de generación de puestos de trabajo ya que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la actualidad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Desperta Ferro Ediciones cuenta con </w:t>
      </w:r>
      <w:r w:rsidR="0046042D">
        <w:rPr>
          <w:rFonts w:asciiTheme="majorHAnsi" w:hAnsiTheme="majorHAnsi" w:cs="Times New Roman"/>
          <w:iCs/>
          <w:sz w:val="16"/>
          <w:szCs w:val="18"/>
          <w:lang w:val="ca-ES"/>
        </w:rPr>
        <w:t>quince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 en plantilla y decenas de colaboradores externos.</w:t>
      </w:r>
      <w:r w:rsidR="006C2A17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sectPr w:rsidR="00777478" w:rsidRPr="00AA04EE" w:rsidSect="006F77B1">
      <w:headerReference w:type="default" r:id="rId16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786" w:rsidRDefault="001E3786" w:rsidP="008B076F">
      <w:pPr>
        <w:spacing w:after="0" w:line="240" w:lineRule="auto"/>
      </w:pPr>
      <w:r>
        <w:separator/>
      </w:r>
    </w:p>
  </w:endnote>
  <w:endnote w:type="continuationSeparator" w:id="0">
    <w:p w:rsidR="001E3786" w:rsidRDefault="001E3786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786" w:rsidRDefault="001E3786" w:rsidP="008B076F">
      <w:pPr>
        <w:spacing w:after="0" w:line="240" w:lineRule="auto"/>
      </w:pPr>
      <w:r>
        <w:separator/>
      </w:r>
    </w:p>
  </w:footnote>
  <w:footnote w:type="continuationSeparator" w:id="0">
    <w:p w:rsidR="001E3786" w:rsidRDefault="001E3786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8F0" w:rsidRDefault="00B048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FB"/>
    <w:rsid w:val="0000034D"/>
    <w:rsid w:val="000061C7"/>
    <w:rsid w:val="00042731"/>
    <w:rsid w:val="00055C1D"/>
    <w:rsid w:val="0006161D"/>
    <w:rsid w:val="00063466"/>
    <w:rsid w:val="000649FD"/>
    <w:rsid w:val="00076659"/>
    <w:rsid w:val="0008033A"/>
    <w:rsid w:val="000851A9"/>
    <w:rsid w:val="00086624"/>
    <w:rsid w:val="00097ECF"/>
    <w:rsid w:val="000A286B"/>
    <w:rsid w:val="000D760A"/>
    <w:rsid w:val="000F341A"/>
    <w:rsid w:val="00121597"/>
    <w:rsid w:val="001733B5"/>
    <w:rsid w:val="001824EB"/>
    <w:rsid w:val="001A1A0E"/>
    <w:rsid w:val="001C1999"/>
    <w:rsid w:val="001C3E73"/>
    <w:rsid w:val="001E3786"/>
    <w:rsid w:val="001F078B"/>
    <w:rsid w:val="0020732C"/>
    <w:rsid w:val="00207C04"/>
    <w:rsid w:val="00210C0E"/>
    <w:rsid w:val="00210C3D"/>
    <w:rsid w:val="00221E8C"/>
    <w:rsid w:val="00255D54"/>
    <w:rsid w:val="002721D2"/>
    <w:rsid w:val="002725E2"/>
    <w:rsid w:val="00272FEF"/>
    <w:rsid w:val="00300C24"/>
    <w:rsid w:val="00314184"/>
    <w:rsid w:val="00337D31"/>
    <w:rsid w:val="00367EB6"/>
    <w:rsid w:val="003913FA"/>
    <w:rsid w:val="003A48EF"/>
    <w:rsid w:val="003B5FAB"/>
    <w:rsid w:val="003C5174"/>
    <w:rsid w:val="00416CBE"/>
    <w:rsid w:val="00441C87"/>
    <w:rsid w:val="00444CA5"/>
    <w:rsid w:val="00454EB5"/>
    <w:rsid w:val="0046042D"/>
    <w:rsid w:val="0046482C"/>
    <w:rsid w:val="0046620F"/>
    <w:rsid w:val="00473774"/>
    <w:rsid w:val="00486F9A"/>
    <w:rsid w:val="004B0C1D"/>
    <w:rsid w:val="004E3C3D"/>
    <w:rsid w:val="004F3F14"/>
    <w:rsid w:val="005049ED"/>
    <w:rsid w:val="005107E7"/>
    <w:rsid w:val="00534EA9"/>
    <w:rsid w:val="005404B2"/>
    <w:rsid w:val="00553639"/>
    <w:rsid w:val="005549C3"/>
    <w:rsid w:val="00556737"/>
    <w:rsid w:val="00564849"/>
    <w:rsid w:val="00586767"/>
    <w:rsid w:val="005B4E35"/>
    <w:rsid w:val="005C3421"/>
    <w:rsid w:val="005E5F29"/>
    <w:rsid w:val="005F41CC"/>
    <w:rsid w:val="005F587E"/>
    <w:rsid w:val="006035F9"/>
    <w:rsid w:val="00611736"/>
    <w:rsid w:val="00615C7E"/>
    <w:rsid w:val="00621BDE"/>
    <w:rsid w:val="0062305B"/>
    <w:rsid w:val="00672C51"/>
    <w:rsid w:val="006818FC"/>
    <w:rsid w:val="006852C4"/>
    <w:rsid w:val="006A6B49"/>
    <w:rsid w:val="006B0E3F"/>
    <w:rsid w:val="006B75E9"/>
    <w:rsid w:val="006C0123"/>
    <w:rsid w:val="006C2A17"/>
    <w:rsid w:val="006D11DE"/>
    <w:rsid w:val="006E701B"/>
    <w:rsid w:val="006F1B65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F5667"/>
    <w:rsid w:val="007F76E5"/>
    <w:rsid w:val="00807B9A"/>
    <w:rsid w:val="00810BD9"/>
    <w:rsid w:val="0082255E"/>
    <w:rsid w:val="008665D9"/>
    <w:rsid w:val="008734D8"/>
    <w:rsid w:val="00876F68"/>
    <w:rsid w:val="00895D11"/>
    <w:rsid w:val="008B076F"/>
    <w:rsid w:val="008D75AC"/>
    <w:rsid w:val="008F5C97"/>
    <w:rsid w:val="008F6CFB"/>
    <w:rsid w:val="0090002E"/>
    <w:rsid w:val="00913279"/>
    <w:rsid w:val="009634DD"/>
    <w:rsid w:val="0099468B"/>
    <w:rsid w:val="009947FA"/>
    <w:rsid w:val="009D7795"/>
    <w:rsid w:val="00A10BE3"/>
    <w:rsid w:val="00A1596F"/>
    <w:rsid w:val="00A33011"/>
    <w:rsid w:val="00A508CC"/>
    <w:rsid w:val="00AA04EE"/>
    <w:rsid w:val="00B03ADF"/>
    <w:rsid w:val="00B048F0"/>
    <w:rsid w:val="00B2781A"/>
    <w:rsid w:val="00B33E53"/>
    <w:rsid w:val="00B50376"/>
    <w:rsid w:val="00B531A0"/>
    <w:rsid w:val="00B612ED"/>
    <w:rsid w:val="00B62264"/>
    <w:rsid w:val="00B67B5D"/>
    <w:rsid w:val="00B943E9"/>
    <w:rsid w:val="00B95846"/>
    <w:rsid w:val="00BC66CE"/>
    <w:rsid w:val="00BD68CA"/>
    <w:rsid w:val="00C17175"/>
    <w:rsid w:val="00C44F63"/>
    <w:rsid w:val="00C6017F"/>
    <w:rsid w:val="00C769FA"/>
    <w:rsid w:val="00C80DFB"/>
    <w:rsid w:val="00C8172D"/>
    <w:rsid w:val="00C9358C"/>
    <w:rsid w:val="00CB4DE3"/>
    <w:rsid w:val="00CE208C"/>
    <w:rsid w:val="00CF41CE"/>
    <w:rsid w:val="00CF7C18"/>
    <w:rsid w:val="00D17632"/>
    <w:rsid w:val="00D20493"/>
    <w:rsid w:val="00D36390"/>
    <w:rsid w:val="00D467B2"/>
    <w:rsid w:val="00D7153B"/>
    <w:rsid w:val="00D74696"/>
    <w:rsid w:val="00D8134F"/>
    <w:rsid w:val="00DB65A6"/>
    <w:rsid w:val="00DF7AE1"/>
    <w:rsid w:val="00E014E6"/>
    <w:rsid w:val="00E06B65"/>
    <w:rsid w:val="00E12103"/>
    <w:rsid w:val="00E423F4"/>
    <w:rsid w:val="00E57C01"/>
    <w:rsid w:val="00E628A1"/>
    <w:rsid w:val="00E753EB"/>
    <w:rsid w:val="00EB3B81"/>
    <w:rsid w:val="00EE04E2"/>
    <w:rsid w:val="00EF48A4"/>
    <w:rsid w:val="00EF56B0"/>
    <w:rsid w:val="00F42647"/>
    <w:rsid w:val="00F516D6"/>
    <w:rsid w:val="00F70AAF"/>
    <w:rsid w:val="00F84960"/>
    <w:rsid w:val="00FB42C9"/>
    <w:rsid w:val="00FE24BE"/>
    <w:rsid w:val="00FE27AD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E0750F-E98A-43D5-9A07-F7F7E4D8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styleId="Textoennegrita">
    <w:name w:val="Strong"/>
    <w:basedOn w:val="Fuentedeprrafopredeter"/>
    <w:uiPriority w:val="22"/>
    <w:rsid w:val="0046042D"/>
    <w:rPr>
      <w:b/>
    </w:rPr>
  </w:style>
  <w:style w:type="character" w:styleId="nfasis">
    <w:name w:val="Emphasis"/>
    <w:basedOn w:val="Fuentedeprrafopredeter"/>
    <w:uiPriority w:val="20"/>
    <w:rsid w:val="002725E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a-las-puertas-de-stalingrad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spertaferro-ediciones.com/descargas/" TargetMode="External"/><Relationship Id="rId10" Type="http://schemas.openxmlformats.org/officeDocument/2006/relationships/hyperlink" Target="https://www.despertaferro-ediciones.com/revistas/numero/frente-del-este-choque-de-titan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spertaferro-ediciones.com/autor/david-m-glantz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5197-4F46-45F0-91F0-B0CD1C16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Eduardo Martínez Sánchez</cp:lastModifiedBy>
  <cp:revision>2</cp:revision>
  <dcterms:created xsi:type="dcterms:W3CDTF">2017-11-28T14:06:00Z</dcterms:created>
  <dcterms:modified xsi:type="dcterms:W3CDTF">2017-11-28T14:06:00Z</dcterms:modified>
</cp:coreProperties>
</file>