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10BE3" w:rsidRPr="00121597" w:rsidRDefault="00A06224" w:rsidP="00783399">
      <w:pPr>
        <w:ind w:left="-900" w:right="-856"/>
        <w:contextualSpacing/>
        <w:jc w:val="center"/>
        <w:rPr>
          <w:rFonts w:asciiTheme="majorHAnsi" w:hAnsiTheme="majorHAnsi"/>
          <w:b/>
          <w:i/>
          <w:color w:val="8C1A21"/>
          <w:sz w:val="44"/>
          <w:szCs w:val="40"/>
          <w:lang w:val="ca-ES"/>
        </w:rPr>
      </w:pPr>
      <w:r w:rsidRPr="00A06224">
        <w:rPr>
          <w:rFonts w:asciiTheme="majorHAnsi" w:hAnsiTheme="majorHAnsi"/>
          <w:b/>
          <w:noProof/>
          <w:color w:val="8C1A21"/>
          <w:sz w:val="52"/>
          <w:szCs w:val="40"/>
        </w:rPr>
        <w:pict>
          <v:rect id="Rectangle 2" o:spid="_x0000_s1026" style="position:absolute;left:0;text-align:left;margin-left:-60.05pt;margin-top:-67.55pt;width:538.6pt;height:802.7pt;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" fillcolor="#ebebeb" stroked="f"/>
        </w:pict>
      </w:r>
      <w:r w:rsidRPr="00A06224">
        <w:rPr>
          <w:rFonts w:asciiTheme="majorHAnsi" w:hAnsiTheme="majorHAnsi"/>
          <w:b/>
          <w:noProof/>
          <w:color w:val="8C1A21"/>
          <w:sz w:val="44"/>
          <w:szCs w:val="40"/>
        </w:rPr>
        <w:pict>
          <v:rect id="_x0000_s1032"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oYAQ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" fillcolor="#8c1a21" stroked="f">
            <v:textbox inset=",0,,0">
              <w:txbxContent>
                <w:p w:rsidR="00523693" w:rsidRPr="00367EB6" w:rsidRDefault="00523693"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6F1B65">
        <w:rPr>
          <w:rFonts w:asciiTheme="majorHAnsi" w:hAnsiTheme="majorHAnsi"/>
          <w:b/>
          <w:color w:val="8C1A21"/>
          <w:sz w:val="44"/>
        </w:rPr>
        <w:t xml:space="preserve"> </w:t>
      </w:r>
      <w:r w:rsidR="005E73B6">
        <w:rPr>
          <w:rFonts w:asciiTheme="majorHAnsi" w:hAnsiTheme="majorHAnsi"/>
          <w:b/>
          <w:color w:val="8C1A21"/>
          <w:sz w:val="44"/>
        </w:rPr>
        <w:t>900 días del asedio más cruel de la Historia</w:t>
      </w:r>
    </w:p>
    <w:p w:rsidR="004F3F14" w:rsidRPr="00876F68" w:rsidRDefault="004F3F14" w:rsidP="00E12103">
      <w:pPr>
        <w:spacing w:before="360"/>
        <w:ind w:left="-900" w:right="-856"/>
        <w:contextualSpacing/>
        <w:jc w:val="center"/>
        <w:rPr>
          <w:b/>
          <w:sz w:val="24"/>
          <w:szCs w:val="24"/>
          <w:lang w:val="ca-ES"/>
        </w:rPr>
      </w:pPr>
    </w:p>
    <w:p w:rsidR="00876F68" w:rsidRPr="00D467B2" w:rsidRDefault="00F075DB" w:rsidP="00E12103">
      <w:pPr>
        <w:spacing w:before="360"/>
        <w:ind w:left="-900" w:right="-856"/>
        <w:contextualSpacing/>
        <w:jc w:val="center"/>
        <w:rPr>
          <w:rFonts w:asciiTheme="majorHAnsi" w:hAnsiTheme="majorHAnsi"/>
          <w:b/>
          <w:sz w:val="24"/>
          <w:szCs w:val="24"/>
          <w:lang w:val="es-ES_tradnl"/>
        </w:rPr>
      </w:pPr>
      <w:r>
        <w:rPr>
          <w:rFonts w:asciiTheme="majorHAnsi" w:hAnsiTheme="majorHAnsi"/>
          <w:b/>
          <w:sz w:val="24"/>
        </w:rPr>
        <w:t>El reputado especialista David M. Glantz analiza con el extremo rigor y detalle que le caracteriza las operaciones militares que se desarrollaron durante casi tres años en torno a la sitiada ciudad de Leningrado durante la Segunda Guerra Mundial</w:t>
      </w:r>
      <w:r w:rsidR="005E0DCB" w:rsidRPr="005E0DCB">
        <w:rPr>
          <w:rFonts w:asciiTheme="majorHAnsi" w:hAnsiTheme="majorHAnsi"/>
          <w:b/>
          <w:sz w:val="24"/>
        </w:rPr>
        <w:t>.</w:t>
      </w:r>
      <w:r w:rsidR="005E0DCB" w:rsidRPr="005E0DCB">
        <w:rPr>
          <w:rFonts w:asciiTheme="majorHAnsi" w:hAnsiTheme="majorHAnsi"/>
          <w:sz w:val="20"/>
        </w:rPr>
        <w:t xml:space="preserve"> </w:t>
      </w:r>
    </w:p>
    <w:p w:rsidR="0008033A" w:rsidRPr="003913FA" w:rsidRDefault="0008033A" w:rsidP="00E12103">
      <w:pPr>
        <w:ind w:left="-900" w:right="-856"/>
        <w:contextualSpacing/>
        <w:jc w:val="center"/>
        <w:rPr>
          <w:rFonts w:asciiTheme="majorHAnsi" w:hAnsiTheme="majorHAnsi"/>
          <w:b/>
          <w:sz w:val="24"/>
          <w:szCs w:val="24"/>
          <w:lang w:val="ca-ES"/>
        </w:rPr>
      </w:pPr>
    </w:p>
    <w:p w:rsidR="00783399" w:rsidRPr="0046042D" w:rsidRDefault="00F516D6" w:rsidP="00E753EB">
      <w:pPr>
        <w:ind w:left="-902" w:right="-856"/>
        <w:jc w:val="both"/>
        <w:rPr>
          <w:rFonts w:asciiTheme="majorHAnsi" w:hAnsiTheme="majorHAnsi"/>
          <w:sz w:val="20"/>
          <w:szCs w:val="24"/>
        </w:rPr>
      </w:pPr>
      <w:r w:rsidRPr="00444CA5">
        <w:rPr>
          <w:rFonts w:asciiTheme="majorHAnsi" w:hAnsiTheme="majorHAnsi"/>
          <w:b/>
          <w:noProof/>
          <w:sz w:val="20"/>
          <w:lang w:val="es-ES_tradnl" w:eastAsia="es-ES_tradnl"/>
        </w:rPr>
        <w:drawing>
          <wp:anchor distT="0" distB="0" distL="114300" distR="114300" simplePos="0" relativeHeight="251658240" behindDoc="0" locked="0" layoutInCell="1" allowOverlap="1">
            <wp:simplePos x="0" y="0"/>
            <wp:positionH relativeFrom="column">
              <wp:posOffset>-554355</wp:posOffset>
            </wp:positionH>
            <wp:positionV relativeFrom="paragraph">
              <wp:posOffset>24130</wp:posOffset>
            </wp:positionV>
            <wp:extent cx="1845310" cy="2793365"/>
            <wp:effectExtent l="25400" t="0" r="8890" b="0"/>
            <wp:wrapSquare wrapText="bothSides"/>
            <wp:docPr id="1" name="Imagen 1" descr=":Cubierta-Carlistas-v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a:stretch>
                      <a:fillRect/>
                    </a:stretch>
                  </pic:blipFill>
                  <pic:spPr bwMode="auto">
                    <a:xfrm>
                      <a:off x="0" y="0"/>
                      <a:ext cx="1845310" cy="2793365"/>
                    </a:xfrm>
                    <a:prstGeom prst="rect">
                      <a:avLst/>
                    </a:prstGeom>
                    <a:noFill/>
                    <a:ln w="9525">
                      <a:noFill/>
                      <a:miter lim="800000"/>
                      <a:headEnd/>
                      <a:tailEnd/>
                    </a:ln>
                  </pic:spPr>
                </pic:pic>
              </a:graphicData>
            </a:graphic>
          </wp:anchor>
        </w:drawing>
      </w:r>
      <w:r w:rsidR="00681635">
        <w:rPr>
          <w:rFonts w:asciiTheme="majorHAnsi" w:hAnsiTheme="majorHAnsi"/>
          <w:b/>
          <w:sz w:val="20"/>
          <w:lang w:val="ca-ES"/>
        </w:rPr>
        <w:t>20</w:t>
      </w:r>
      <w:r w:rsidR="00444CA5">
        <w:rPr>
          <w:rFonts w:asciiTheme="majorHAnsi" w:hAnsiTheme="majorHAnsi"/>
          <w:b/>
          <w:sz w:val="20"/>
          <w:lang w:val="ca-ES"/>
        </w:rPr>
        <w:t>-</w:t>
      </w:r>
      <w:r w:rsidR="005E73B6">
        <w:rPr>
          <w:rFonts w:asciiTheme="majorHAnsi" w:hAnsiTheme="majorHAnsi"/>
          <w:b/>
          <w:sz w:val="20"/>
          <w:lang w:val="ca-ES"/>
        </w:rPr>
        <w:t>3</w:t>
      </w:r>
      <w:r w:rsidR="006818FC" w:rsidRPr="00444CA5">
        <w:rPr>
          <w:rFonts w:asciiTheme="majorHAnsi" w:hAnsiTheme="majorHAnsi"/>
          <w:b/>
          <w:sz w:val="20"/>
          <w:lang w:val="ca-ES"/>
        </w:rPr>
        <w:t>-201</w:t>
      </w:r>
      <w:r w:rsidR="005E0DCB">
        <w:rPr>
          <w:rFonts w:asciiTheme="majorHAnsi" w:hAnsiTheme="majorHAnsi"/>
          <w:b/>
          <w:sz w:val="20"/>
          <w:lang w:val="ca-ES"/>
        </w:rPr>
        <w:t>8</w:t>
      </w:r>
      <w:r w:rsidR="00A10BE3" w:rsidRPr="0046042D">
        <w:rPr>
          <w:rFonts w:asciiTheme="majorHAnsi" w:hAnsiTheme="majorHAnsi"/>
          <w:sz w:val="20"/>
          <w:lang w:val="ca-ES"/>
        </w:rPr>
        <w:t xml:space="preserve"> </w:t>
      </w:r>
      <w:r w:rsidR="00615C7E" w:rsidRPr="0046042D">
        <w:rPr>
          <w:rFonts w:asciiTheme="majorHAnsi" w:hAnsiTheme="majorHAnsi"/>
          <w:sz w:val="20"/>
          <w:lang w:val="ca-ES"/>
        </w:rPr>
        <w:t>–</w:t>
      </w:r>
      <w:r w:rsidR="00A10BE3" w:rsidRPr="0046042D">
        <w:rPr>
          <w:rFonts w:asciiTheme="majorHAnsi" w:hAnsiTheme="majorHAnsi"/>
          <w:sz w:val="20"/>
          <w:lang w:val="ca-ES"/>
        </w:rPr>
        <w:t xml:space="preserve"> </w:t>
      </w:r>
      <w:r w:rsidR="00783399" w:rsidRPr="0046042D">
        <w:rPr>
          <w:rFonts w:asciiTheme="majorHAnsi" w:hAnsiTheme="majorHAnsi"/>
          <w:sz w:val="20"/>
          <w:szCs w:val="24"/>
        </w:rPr>
        <w:t xml:space="preserve">La editorial Desperta Ferro Ediciones publica </w:t>
      </w:r>
      <w:r w:rsidR="00523693">
        <w:rPr>
          <w:rFonts w:asciiTheme="majorHAnsi" w:hAnsiTheme="majorHAnsi"/>
          <w:b/>
          <w:i/>
          <w:sz w:val="20"/>
          <w:szCs w:val="24"/>
        </w:rPr>
        <w:t>Leningrado. 900 días asediados por la Wehrmacht</w:t>
      </w:r>
      <w:r w:rsidR="006F1B65" w:rsidRPr="0046042D">
        <w:rPr>
          <w:rFonts w:asciiTheme="majorHAnsi" w:hAnsiTheme="majorHAnsi"/>
          <w:sz w:val="20"/>
          <w:szCs w:val="24"/>
        </w:rPr>
        <w:t>,</w:t>
      </w:r>
      <w:r w:rsidR="00B048F0">
        <w:rPr>
          <w:rFonts w:asciiTheme="majorHAnsi" w:hAnsiTheme="majorHAnsi"/>
          <w:sz w:val="20"/>
          <w:szCs w:val="24"/>
        </w:rPr>
        <w:t xml:space="preserve"> </w:t>
      </w:r>
      <w:r w:rsidR="00523693">
        <w:rPr>
          <w:rFonts w:asciiTheme="majorHAnsi" w:hAnsiTheme="majorHAnsi"/>
          <w:sz w:val="20"/>
          <w:szCs w:val="24"/>
        </w:rPr>
        <w:t xml:space="preserve">de </w:t>
      </w:r>
      <w:hyperlink r:id="rId9" w:history="1">
        <w:r w:rsidR="00523693" w:rsidRPr="00523693">
          <w:rPr>
            <w:rStyle w:val="Hipervnculo"/>
            <w:rFonts w:asciiTheme="majorHAnsi" w:hAnsiTheme="majorHAnsi"/>
            <w:sz w:val="20"/>
            <w:szCs w:val="24"/>
          </w:rPr>
          <w:t>David M. Glantz</w:t>
        </w:r>
      </w:hyperlink>
      <w:r w:rsidR="00523693">
        <w:rPr>
          <w:rFonts w:asciiTheme="majorHAnsi" w:hAnsiTheme="majorHAnsi"/>
          <w:sz w:val="20"/>
          <w:szCs w:val="24"/>
        </w:rPr>
        <w:t xml:space="preserve">, máxima autoridad de la Segunda Guerra Mundial en el frente del este y autor de obras de referencia como </w:t>
      </w:r>
      <w:hyperlink r:id="rId10" w:history="1">
        <w:r w:rsidR="00523693" w:rsidRPr="00F43758">
          <w:rPr>
            <w:rStyle w:val="Hipervnculo"/>
            <w:rFonts w:asciiTheme="majorHAnsi" w:hAnsiTheme="majorHAnsi"/>
            <w:i/>
            <w:sz w:val="20"/>
            <w:szCs w:val="24"/>
          </w:rPr>
          <w:t>Choque de</w:t>
        </w:r>
        <w:r w:rsidR="00523693" w:rsidRPr="00F43758">
          <w:rPr>
            <w:rStyle w:val="Hipervnculo"/>
            <w:rFonts w:asciiTheme="majorHAnsi" w:hAnsiTheme="majorHAnsi"/>
            <w:sz w:val="20"/>
            <w:szCs w:val="24"/>
          </w:rPr>
          <w:t xml:space="preserve"> </w:t>
        </w:r>
        <w:r w:rsidR="00523693" w:rsidRPr="00F43758">
          <w:rPr>
            <w:rStyle w:val="Hipervnculo"/>
            <w:rFonts w:asciiTheme="majorHAnsi" w:hAnsiTheme="majorHAnsi"/>
            <w:i/>
            <w:sz w:val="20"/>
            <w:szCs w:val="24"/>
          </w:rPr>
          <w:t>Titanes</w:t>
        </w:r>
      </w:hyperlink>
      <w:r w:rsidR="00523693">
        <w:rPr>
          <w:rFonts w:asciiTheme="majorHAnsi" w:hAnsiTheme="majorHAnsi"/>
          <w:sz w:val="20"/>
          <w:szCs w:val="24"/>
        </w:rPr>
        <w:t xml:space="preserve"> o su obra magna, la </w:t>
      </w:r>
      <w:hyperlink r:id="rId11" w:history="1">
        <w:r w:rsidR="00523693" w:rsidRPr="00F43758">
          <w:rPr>
            <w:rStyle w:val="Hipervnculo"/>
            <w:rFonts w:asciiTheme="majorHAnsi" w:hAnsiTheme="majorHAnsi"/>
            <w:i/>
            <w:sz w:val="20"/>
            <w:szCs w:val="24"/>
          </w:rPr>
          <w:t>Tetralogía de Stalingrado</w:t>
        </w:r>
      </w:hyperlink>
      <w:r w:rsidR="00523693">
        <w:rPr>
          <w:rFonts w:asciiTheme="majorHAnsi" w:hAnsiTheme="majorHAnsi"/>
          <w:sz w:val="20"/>
          <w:szCs w:val="24"/>
        </w:rPr>
        <w:t>.</w:t>
      </w:r>
    </w:p>
    <w:p w:rsidR="005E73B6" w:rsidRPr="005E73B6" w:rsidRDefault="005E73B6" w:rsidP="00F075DB">
      <w:pPr>
        <w:ind w:left="-902" w:right="-902"/>
        <w:jc w:val="both"/>
        <w:rPr>
          <w:rFonts w:asciiTheme="majorHAnsi" w:hAnsiTheme="majorHAnsi"/>
          <w:sz w:val="20"/>
        </w:rPr>
      </w:pPr>
      <w:r w:rsidRPr="005E73B6">
        <w:rPr>
          <w:rFonts w:asciiTheme="majorHAnsi" w:hAnsiTheme="majorHAnsi"/>
          <w:sz w:val="20"/>
        </w:rPr>
        <w:t>Durante la Segunda Guerra Mundial, Leningrado, la ciudad de los zares, cuna de la </w:t>
      </w:r>
      <w:r w:rsidR="00A06224" w:rsidRPr="005E73B6">
        <w:rPr>
          <w:rFonts w:asciiTheme="majorHAnsi" w:hAnsiTheme="majorHAnsi"/>
          <w:sz w:val="20"/>
        </w:rPr>
        <w:fldChar w:fldCharType="begin"/>
      </w:r>
      <w:r w:rsidRPr="005E73B6">
        <w:rPr>
          <w:rFonts w:asciiTheme="majorHAnsi" w:hAnsiTheme="majorHAnsi"/>
          <w:sz w:val="20"/>
        </w:rPr>
        <w:instrText xml:space="preserve"> HYPERLINK "https://www.despertaferro-ediciones.com/revistas/numero/blancos-contra-rojos-guerra-civil-rusa/" \t "_blank" </w:instrText>
      </w:r>
      <w:r w:rsidR="00A06224" w:rsidRPr="005E73B6">
        <w:rPr>
          <w:rFonts w:asciiTheme="majorHAnsi" w:hAnsiTheme="majorHAnsi"/>
          <w:sz w:val="20"/>
        </w:rPr>
        <w:fldChar w:fldCharType="separate"/>
      </w:r>
      <w:r w:rsidRPr="005E73B6">
        <w:rPr>
          <w:rFonts w:asciiTheme="majorHAnsi" w:hAnsiTheme="majorHAnsi"/>
          <w:sz w:val="20"/>
        </w:rPr>
        <w:t>Revolución rusa</w:t>
      </w:r>
      <w:r w:rsidR="00A06224" w:rsidRPr="005E73B6">
        <w:rPr>
          <w:rFonts w:asciiTheme="majorHAnsi" w:hAnsiTheme="majorHAnsi"/>
          <w:sz w:val="20"/>
        </w:rPr>
        <w:fldChar w:fldCharType="end"/>
      </w:r>
      <w:r w:rsidRPr="005E73B6">
        <w:rPr>
          <w:rFonts w:asciiTheme="majorHAnsi" w:hAnsiTheme="majorHAnsi"/>
          <w:sz w:val="20"/>
        </w:rPr>
        <w:t>, tiene el dudoso honor de haber sufrido el que sin duda fue el asedio más importante de la historia de la humanidad, sobre todo si sumamos el número de civiles que había en la u</w:t>
      </w:r>
      <w:r w:rsidR="00F075DB">
        <w:rPr>
          <w:rFonts w:asciiTheme="majorHAnsi" w:hAnsiTheme="majorHAnsi"/>
          <w:sz w:val="20"/>
        </w:rPr>
        <w:t>rbe cuando se cerró el cerco –2 280 </w:t>
      </w:r>
      <w:r w:rsidRPr="005E73B6">
        <w:rPr>
          <w:rFonts w:asciiTheme="majorHAnsi" w:hAnsiTheme="majorHAnsi"/>
          <w:sz w:val="20"/>
        </w:rPr>
        <w:t>000, a los que hay que añadir decenas de miles de soldados y marinos empeñados en la defensa del frente–; los escasísimos límites a los que llegaron a caer las raciones alimenticias –500 gramos de pan al día para obreros y combatientes y la mitad para las personas dependientes–; las atroces condiciones climatológicas, que llegaron a alcanzar los -40ºC; y la épica de las intensas acciones que permitieron que la ciudad subsistiera y que, como nos cuenta David M. Glantz en La batalla por Leningrado. 900 días sitiados por la Wehrmacht, fuera liberada.</w:t>
      </w:r>
      <w:r w:rsidR="00523693">
        <w:rPr>
          <w:rFonts w:asciiTheme="majorHAnsi" w:hAnsiTheme="majorHAnsi"/>
          <w:sz w:val="20"/>
        </w:rPr>
        <w:t xml:space="preserve"> </w:t>
      </w:r>
      <w:r w:rsidRPr="005E73B6">
        <w:rPr>
          <w:rFonts w:asciiTheme="majorHAnsi" w:hAnsiTheme="majorHAnsi"/>
          <w:sz w:val="20"/>
        </w:rPr>
        <w:t>Una de ellas, la «carretera de la vida», es sin duda la más conocida. Una vía enterrada entre paredes de nieve acumulada, tendida sobre el hielo crujiente del lago de Ládoga, recorrida por miles de camiones en un vaivén sin fin –siempre sometidos a los ataques de la artillería y de la aviación germana, o al peligro de hundimiento que suponía un brusco deshielo– y vigilada por decenas de puestos de carretera, ocupados por hombres que, a la intemperie, guiaron a los suministradores hacia el destino correcto.</w:t>
      </w:r>
      <w:r w:rsidR="00523693">
        <w:rPr>
          <w:rFonts w:asciiTheme="majorHAnsi" w:hAnsiTheme="majorHAnsi"/>
          <w:sz w:val="20"/>
        </w:rPr>
        <w:t xml:space="preserve"> </w:t>
      </w:r>
      <w:r w:rsidRPr="005E73B6">
        <w:rPr>
          <w:rFonts w:asciiTheme="majorHAnsi" w:hAnsiTheme="majorHAnsi"/>
          <w:sz w:val="20"/>
        </w:rPr>
        <w:t>Todo ello forma parte del milagro de Leningrado y nos hace olvidar otra lucha aún más dura, la que desde Nóvgorod al Báltico sostuvieron los soldados de ambos bandos, entre los que se encontraron los españoles de la 250.ª División de infantería (la División Azul), combates en los que se centra </w:t>
      </w:r>
      <w:r w:rsidRPr="00F075DB">
        <w:rPr>
          <w:rFonts w:asciiTheme="majorHAnsi" w:hAnsiTheme="majorHAnsi"/>
          <w:i/>
          <w:sz w:val="20"/>
        </w:rPr>
        <w:t>La batalla por Leningrado. 900 días sitiados por la Wehrmacht</w:t>
      </w:r>
      <w:r w:rsidRPr="005E73B6">
        <w:rPr>
          <w:rFonts w:asciiTheme="majorHAnsi" w:hAnsiTheme="majorHAnsi"/>
          <w:sz w:val="20"/>
        </w:rPr>
        <w:t>, que si bien no pretende negar el sufrimiento de quienes se hallaron en el interior del cerco, nos describe con el minucioso detalle característico de David M. Glantz los intensos combates de quienes pugnaron por mantenerlo cerrado y de quienes consiguieron abrirlo.</w:t>
      </w:r>
    </w:p>
    <w:p w:rsidR="000061C7" w:rsidRPr="0046042D" w:rsidRDefault="00444CA5" w:rsidP="005E73B6">
      <w:pPr>
        <w:ind w:left="-902" w:right="-856"/>
        <w:jc w:val="both"/>
        <w:rPr>
          <w:rFonts w:asciiTheme="majorHAnsi" w:hAnsiTheme="majorHAnsi" w:cs="LiberationSerif-Regular"/>
          <w:color w:val="000000"/>
          <w:sz w:val="20"/>
          <w:szCs w:val="24"/>
        </w:rPr>
      </w:pPr>
      <w:r>
        <w:rPr>
          <w:rFonts w:asciiTheme="majorHAnsi" w:hAnsiTheme="majorHAnsi" w:cs="Helvetica"/>
          <w:sz w:val="20"/>
          <w:szCs w:val="20"/>
          <w:lang w:val="ca-ES" w:eastAsia="es-ES_tradnl"/>
        </w:rPr>
        <w:t xml:space="preserve">El libro estará </w:t>
      </w:r>
      <w:r w:rsidRPr="00C80DFB">
        <w:rPr>
          <w:rFonts w:asciiTheme="majorHAnsi" w:hAnsiTheme="majorHAnsi" w:cs="Helvetica"/>
          <w:b/>
          <w:sz w:val="20"/>
          <w:szCs w:val="20"/>
          <w:lang w:val="ca-ES" w:eastAsia="es-ES_tradnl"/>
        </w:rPr>
        <w:t>disponible el</w:t>
      </w:r>
      <w:r>
        <w:rPr>
          <w:rFonts w:asciiTheme="majorHAnsi" w:hAnsiTheme="majorHAnsi" w:cs="Helvetica"/>
          <w:sz w:val="20"/>
          <w:szCs w:val="20"/>
          <w:lang w:val="ca-ES" w:eastAsia="es-ES_tradnl"/>
        </w:rPr>
        <w:t xml:space="preserve"> </w:t>
      </w:r>
      <w:r w:rsidR="005E0DCB">
        <w:rPr>
          <w:rFonts w:asciiTheme="majorHAnsi" w:hAnsiTheme="majorHAnsi" w:cs="Helvetica"/>
          <w:b/>
          <w:sz w:val="20"/>
          <w:szCs w:val="20"/>
          <w:lang w:val="ca-ES" w:eastAsia="es-ES_tradnl"/>
        </w:rPr>
        <w:t>miércoles 28</w:t>
      </w:r>
      <w:r w:rsidR="000F341A">
        <w:rPr>
          <w:rFonts w:asciiTheme="majorHAnsi" w:hAnsiTheme="majorHAnsi" w:cs="Helvetica"/>
          <w:b/>
          <w:sz w:val="20"/>
          <w:szCs w:val="20"/>
          <w:lang w:val="ca-ES" w:eastAsia="es-ES_tradnl"/>
        </w:rPr>
        <w:t xml:space="preserve"> de </w:t>
      </w:r>
      <w:r w:rsidR="00523693">
        <w:rPr>
          <w:rFonts w:asciiTheme="majorHAnsi" w:hAnsiTheme="majorHAnsi" w:cs="Helvetica"/>
          <w:b/>
          <w:sz w:val="20"/>
          <w:szCs w:val="20"/>
          <w:lang w:val="ca-ES" w:eastAsia="es-ES_tradnl"/>
        </w:rPr>
        <w:t>marzo</w:t>
      </w:r>
      <w:r>
        <w:rPr>
          <w:rFonts w:asciiTheme="majorHAnsi" w:hAnsiTheme="majorHAnsi" w:cs="Helvetica"/>
          <w:sz w:val="20"/>
          <w:szCs w:val="20"/>
          <w:lang w:val="ca-ES" w:eastAsia="es-ES_tradnl"/>
        </w:rPr>
        <w:t xml:space="preserve">. </w:t>
      </w:r>
      <w:r w:rsidR="00B612ED" w:rsidRPr="0046042D">
        <w:rPr>
          <w:rFonts w:asciiTheme="majorHAnsi" w:hAnsiTheme="majorHAnsi" w:cs="Helvetica"/>
          <w:sz w:val="20"/>
          <w:szCs w:val="20"/>
          <w:lang w:val="ca-ES" w:eastAsia="es-ES_tradnl"/>
        </w:rPr>
        <w:t xml:space="preserve">Pincha en </w:t>
      </w:r>
      <w:r w:rsidR="000061C7" w:rsidRPr="0046042D">
        <w:rPr>
          <w:rFonts w:asciiTheme="majorHAnsi" w:hAnsiTheme="majorHAnsi" w:cs="Helvetica"/>
          <w:sz w:val="20"/>
          <w:szCs w:val="20"/>
          <w:lang w:val="ca-ES" w:eastAsia="es-ES_tradnl"/>
        </w:rPr>
        <w:t xml:space="preserve">este </w:t>
      </w:r>
      <w:hyperlink r:id="rId12" w:history="1">
        <w:r w:rsidR="000061C7" w:rsidRPr="0046042D">
          <w:rPr>
            <w:rStyle w:val="Hipervnculo"/>
            <w:rFonts w:asciiTheme="majorHAnsi" w:hAnsiTheme="majorHAnsi" w:cs="Helvetica"/>
            <w:sz w:val="20"/>
            <w:szCs w:val="20"/>
            <w:lang w:val="ca-ES" w:eastAsia="es-ES_tradnl"/>
          </w:rPr>
          <w:t>enlace</w:t>
        </w:r>
      </w:hyperlink>
      <w:r w:rsidR="00B612ED" w:rsidRPr="0046042D">
        <w:rPr>
          <w:rFonts w:asciiTheme="majorHAnsi" w:hAnsiTheme="majorHAnsi" w:cs="Helvetica"/>
          <w:sz w:val="20"/>
          <w:szCs w:val="20"/>
          <w:lang w:val="ca-ES" w:eastAsia="es-ES_tradnl"/>
        </w:rPr>
        <w:t xml:space="preserve"> para obtener más información sobre la obra y </w:t>
      </w:r>
      <w:hyperlink r:id="rId13" w:anchor="catalogo-de-publicaciones" w:history="1">
        <w:r w:rsidR="00B612ED" w:rsidRPr="0046042D">
          <w:rPr>
            <w:rStyle w:val="Hipervnculo"/>
            <w:rFonts w:asciiTheme="majorHAnsi" w:hAnsiTheme="majorHAnsi" w:cs="Helvetica"/>
            <w:sz w:val="20"/>
            <w:szCs w:val="20"/>
            <w:lang w:val="ca-ES" w:eastAsia="es-ES_tradnl"/>
          </w:rPr>
          <w:t>aquí</w:t>
        </w:r>
      </w:hyperlink>
      <w:r w:rsidR="005E0DCB">
        <w:rPr>
          <w:rFonts w:asciiTheme="majorHAnsi" w:hAnsiTheme="majorHAnsi" w:cs="Helvetica"/>
          <w:sz w:val="20"/>
          <w:szCs w:val="20"/>
          <w:lang w:val="ca-ES" w:eastAsia="es-ES_tradnl"/>
        </w:rPr>
        <w:t xml:space="preserve"> para consultar nuestro C</w:t>
      </w:r>
      <w:r w:rsidR="00B612ED" w:rsidRPr="0046042D">
        <w:rPr>
          <w:rFonts w:asciiTheme="majorHAnsi" w:hAnsiTheme="majorHAnsi" w:cs="Helvetica"/>
          <w:sz w:val="20"/>
          <w:szCs w:val="20"/>
          <w:lang w:val="ca-ES" w:eastAsia="es-ES_tradnl"/>
        </w:rPr>
        <w:t>atálogo</w:t>
      </w:r>
      <w:r w:rsidR="005E0DCB">
        <w:rPr>
          <w:rFonts w:asciiTheme="majorHAnsi" w:hAnsiTheme="majorHAnsi" w:cs="Helvetica"/>
          <w:sz w:val="20"/>
          <w:szCs w:val="20"/>
          <w:lang w:val="ca-ES" w:eastAsia="es-ES_tradnl"/>
        </w:rPr>
        <w:t xml:space="preserve"> de publicaciones enero-junio 2018</w:t>
      </w:r>
      <w:r w:rsidR="00B612ED" w:rsidRPr="0046042D">
        <w:rPr>
          <w:rFonts w:asciiTheme="majorHAnsi" w:hAnsiTheme="majorHAnsi" w:cs="Helvetica"/>
          <w:sz w:val="20"/>
          <w:szCs w:val="20"/>
          <w:lang w:val="ca-ES" w:eastAsia="es-ES_tradnl"/>
        </w:rPr>
        <w:t xml:space="preserve">. </w:t>
      </w: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r w:rsidR="00E57C01">
        <w:rPr>
          <w:rFonts w:asciiTheme="majorHAnsi" w:hAnsiTheme="majorHAnsi"/>
          <w:sz w:val="20"/>
          <w:szCs w:val="20"/>
        </w:rPr>
        <w:t>comunicacion</w:t>
      </w:r>
      <w:r>
        <w:rPr>
          <w:rFonts w:asciiTheme="majorHAnsi" w:hAnsiTheme="majorHAnsi"/>
          <w:sz w:val="20"/>
          <w:szCs w:val="20"/>
        </w:rPr>
        <w:t>@despertaferro-ediciones.com</w:t>
      </w:r>
    </w:p>
    <w:p w:rsidR="001A1A0E" w:rsidRDefault="001A1A0E" w:rsidP="00E12103">
      <w:pPr>
        <w:ind w:left="-900" w:right="-856"/>
        <w:contextualSpacing/>
        <w:jc w:val="right"/>
        <w:rPr>
          <w:rFonts w:ascii="Times New Roman" w:hAnsi="Times New Roman" w:cs="Times New Roman"/>
          <w:b/>
          <w:sz w:val="16"/>
          <w:szCs w:val="18"/>
          <w:lang w:val="ca-ES"/>
        </w:rPr>
      </w:pP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A06224" w:rsidP="009D7795">
      <w:pPr>
        <w:ind w:left="-902" w:right="-856"/>
        <w:contextualSpacing/>
        <w:jc w:val="both"/>
        <w:rPr>
          <w:rFonts w:asciiTheme="majorHAnsi" w:hAnsiTheme="majorHAnsi" w:cs="Times New Roman"/>
          <w:iCs/>
          <w:sz w:val="16"/>
          <w:szCs w:val="18"/>
          <w:lang w:val="ca-ES"/>
        </w:rPr>
      </w:pPr>
      <w:r w:rsidRPr="00A06224">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7" type="#_x0000_t202" style="position:absolute;left:0;text-align:left;margin-left:-60.05pt;margin-top:119.05pt;width:538.6pt;height:54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" filled="f" stroked="f" strokeweight=".5pt">
            <v:path arrowok="t"/>
            <v:textbox>
              <w:txbxContent>
                <w:p w:rsidR="00523693" w:rsidRPr="00E12103" w:rsidRDefault="00523693"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5E0DCB">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4"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3067"/>
                    </a:xfrm>
                    <a:prstGeom prst="rect">
                      <a:avLst/>
                    </a:prstGeom>
                  </pic:spPr>
                </pic:pic>
              </a:graphicData>
            </a:graphic>
          </wp:anchor>
        </w:drawing>
      </w:r>
      <w:r w:rsidRPr="00A06224">
        <w:rPr>
          <w:rFonts w:ascii="Times New Roman" w:hAnsi="Times New Roman" w:cs="Times New Roman"/>
          <w:noProof/>
          <w:sz w:val="24"/>
          <w:szCs w:val="24"/>
        </w:rPr>
        <w:pict>
          <v:rect id="Rectángulo 6" o:spid="_x0000_s1031"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" filled="f" stroked="f" strokeweight="2pt">
            <v:path arrowok="t"/>
            <v:textbox>
              <w:txbxContent/>
            </v:textbox>
          </v:rect>
        </w:pict>
      </w:r>
      <w:r w:rsidRPr="00A06224">
        <w:rPr>
          <w:rFonts w:asciiTheme="majorHAnsi" w:hAnsiTheme="majorHAnsi" w:cs="LiberationSerif-Regular"/>
          <w:noProof/>
          <w:color w:val="000000"/>
          <w:sz w:val="20"/>
          <w:szCs w:val="24"/>
          <w:lang w:val="es-ES_tradnl" w:eastAsia="es-ES_tradnl"/>
        </w:rPr>
        <w:pict>
          <v:shape id="_x0000_s1036" type="#_x0000_t202" style="position:absolute;left:0;text-align:left;margin-left:-63pt;margin-top:93.05pt;width:9pt;height:9pt;z-index:251670528;mso-wrap-edited:f;mso-position-horizontal:absolute;mso-position-horizontal-relative:text;mso-position-vertical:absolute;mso-position-vertical-relative:text" wrapcoords="0 0 21600 0 21600 21600 0 21600 0 0" filled="f" stroked="f">
            <v:fill o:detectmouseclick="t"/>
            <v:textbox style="mso-next-textbox:#Rectángulo 6" inset=",7.2pt,,7.2pt">
              <w:txbxContent>
                <w:p w:rsidR="00523693" w:rsidRPr="00807B9A" w:rsidRDefault="00523693"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F341A">
                    <w:rPr>
                      <w:noProof/>
                      <w:sz w:val="32"/>
                      <w:szCs w:val="32"/>
                      <w:lang w:val="es-ES_tradnl" w:eastAsia="es-ES_tradnl"/>
                    </w:rPr>
                    <w:drawing>
                      <wp:inline distT="0" distB="0" distL="0" distR="0">
                        <wp:extent cx="1273810" cy="262255"/>
                        <wp:effectExtent l="25400" t="0" r="0" b="0"/>
                        <wp:docPr id="9"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5"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Pr="00A06224">
        <w:rPr>
          <w:rFonts w:ascii="Times New Roman" w:hAnsi="Times New Roman" w:cs="Times New Roman"/>
          <w:noProof/>
          <w:sz w:val="24"/>
          <w:szCs w:val="24"/>
        </w:rPr>
        <w:pict>
          <v:rect id="_x0000_s1029"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J6nQ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Q5HbiwheKIpLHQ&#10;TZMz/LrCB1oz5zfM4vjgm+JK8Ld4SAVNTqH/o6QE++MtebBHVqOWkgbHMafu+55ZQYn6opHvnyaz&#10;WZjfeJnNPwbe2Kea7VON3teXgA83weVjePwN9l4Nv9JC/YibYxWyooppjrlzyr0dLpe+WxO4e7hY&#10;raIZzqxhfq3vDQ/BA86BgA/tI7OmZ6lHft/AMLose0HWzjZ4aljtPcgqMjkg3eHavwDOe6RSv5vC&#10;Qnl6j1Z/Nujy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GOp8nqdAgAAiQUAAA4AAAAAAAAAAAAAAAAALgIA&#10;AGRycy9lMm9Eb2MueG1sUEsBAi0AFAAGAAgAAAAhAEPdgFfjAAAADgEAAA8AAAAAAAAAAAAAAAAA&#10;9wQAAGRycy9kb3ducmV2LnhtbFBLBQYAAAAABAAEAPMAAAAHBgAAAAA=&#10;" filled="f" stroked="f" strokeweight="2pt">
            <v:path arrowok="t"/>
            <v:textbox>
              <w:txbxContent>
                <w:p w:rsidR="00523693" w:rsidRDefault="00523693"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523693" w:rsidRDefault="00523693" w:rsidP="00A33011">
                  <w:pPr>
                    <w:spacing w:line="240" w:lineRule="auto"/>
                    <w:jc w:val="center"/>
                    <w:rPr>
                      <w:sz w:val="32"/>
                      <w:szCs w:val="32"/>
                    </w:rPr>
                  </w:pPr>
                </w:p>
              </w:txbxContent>
            </v:textbox>
          </v:rect>
        </w:pict>
      </w:r>
      <w:r w:rsidRPr="00A06224">
        <w:rPr>
          <w:rFonts w:ascii="Times New Roman" w:hAnsi="Times New Roman" w:cs="Times New Roman"/>
          <w:noProof/>
          <w:sz w:val="24"/>
          <w:szCs w:val="24"/>
        </w:rPr>
        <w:pict>
          <v:rect id="_x0000_s103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eunQIAAIk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CgXp66dAgAAiQUAAA4AAAAAAAAAAAAAAAAALgIA&#10;AGRycy9lMm9Eb2MueG1sUEsBAi0AFAAGAAgAAAAhAEPdgFfjAAAADgEAAA8AAAAAAAAAAAAAAAAA&#10;9wQAAGRycy9kb3ducmV2LnhtbFBLBQYAAAAABAAEAPMAAAAHBgAAAAA=&#10;" filled="f" stroked="f" strokeweight="2pt">
            <v:path arrowok="t"/>
            <v:textbox>
              <w:txbxContent>
                <w:p w:rsidR="00523693" w:rsidRDefault="00523693"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523693" w:rsidRDefault="00523693" w:rsidP="00A33011">
                  <w:pPr>
                    <w:spacing w:line="240" w:lineRule="auto"/>
                    <w:jc w:val="center"/>
                    <w:rPr>
                      <w:sz w:val="32"/>
                      <w:szCs w:val="32"/>
                    </w:rPr>
                  </w:pPr>
                </w:p>
              </w:txbxContent>
            </v:textbox>
          </v:rect>
        </w:pic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6"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7"/>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693" w:rsidRDefault="00523693" w:rsidP="008B076F">
      <w:pPr>
        <w:spacing w:after="0" w:line="240" w:lineRule="auto"/>
      </w:pPr>
      <w:r>
        <w:separator/>
      </w:r>
    </w:p>
  </w:endnote>
  <w:endnote w:type="continuationSeparator" w:id="0">
    <w:p w:rsidR="00523693" w:rsidRDefault="00523693"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693" w:rsidRDefault="00523693" w:rsidP="008B076F">
      <w:pPr>
        <w:spacing w:after="0" w:line="240" w:lineRule="auto"/>
      </w:pPr>
      <w:r>
        <w:separator/>
      </w:r>
    </w:p>
  </w:footnote>
  <w:footnote w:type="continuationSeparator" w:id="0">
    <w:p w:rsidR="00523693" w:rsidRDefault="00523693" w:rsidP="008B076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93" w:rsidRDefault="00523693">
    <w:pPr>
      <w:pStyle w:val="Encabezado"/>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5C1D"/>
    <w:rsid w:val="0006161D"/>
    <w:rsid w:val="00063466"/>
    <w:rsid w:val="000649FD"/>
    <w:rsid w:val="00073DA9"/>
    <w:rsid w:val="00076659"/>
    <w:rsid w:val="0008033A"/>
    <w:rsid w:val="000851A9"/>
    <w:rsid w:val="00086624"/>
    <w:rsid w:val="00097ECF"/>
    <w:rsid w:val="000A286B"/>
    <w:rsid w:val="000D760A"/>
    <w:rsid w:val="000F341A"/>
    <w:rsid w:val="00121597"/>
    <w:rsid w:val="001733B5"/>
    <w:rsid w:val="001824EB"/>
    <w:rsid w:val="001A1A0E"/>
    <w:rsid w:val="001B481D"/>
    <w:rsid w:val="001C1999"/>
    <w:rsid w:val="001C3E73"/>
    <w:rsid w:val="001F078B"/>
    <w:rsid w:val="0020732C"/>
    <w:rsid w:val="00207C04"/>
    <w:rsid w:val="00210C0E"/>
    <w:rsid w:val="00210C3D"/>
    <w:rsid w:val="00221E8C"/>
    <w:rsid w:val="00255D54"/>
    <w:rsid w:val="002721D2"/>
    <w:rsid w:val="002725E2"/>
    <w:rsid w:val="00272FEF"/>
    <w:rsid w:val="00300C24"/>
    <w:rsid w:val="00314184"/>
    <w:rsid w:val="00337D31"/>
    <w:rsid w:val="00367EB6"/>
    <w:rsid w:val="003913FA"/>
    <w:rsid w:val="003A48EF"/>
    <w:rsid w:val="003B5FAB"/>
    <w:rsid w:val="003C5174"/>
    <w:rsid w:val="00416CBE"/>
    <w:rsid w:val="00441C87"/>
    <w:rsid w:val="00444CA5"/>
    <w:rsid w:val="00454EB5"/>
    <w:rsid w:val="0046042D"/>
    <w:rsid w:val="0046482C"/>
    <w:rsid w:val="0046620F"/>
    <w:rsid w:val="00473774"/>
    <w:rsid w:val="00486F9A"/>
    <w:rsid w:val="004B0C1D"/>
    <w:rsid w:val="004E3C3D"/>
    <w:rsid w:val="004F3F14"/>
    <w:rsid w:val="005049ED"/>
    <w:rsid w:val="005107E7"/>
    <w:rsid w:val="00520B1F"/>
    <w:rsid w:val="00523693"/>
    <w:rsid w:val="00534EA9"/>
    <w:rsid w:val="005404B2"/>
    <w:rsid w:val="00553639"/>
    <w:rsid w:val="005549C3"/>
    <w:rsid w:val="00556737"/>
    <w:rsid w:val="00564849"/>
    <w:rsid w:val="00586767"/>
    <w:rsid w:val="005B4E35"/>
    <w:rsid w:val="005E0DCB"/>
    <w:rsid w:val="005E5F29"/>
    <w:rsid w:val="005E73B6"/>
    <w:rsid w:val="005F41CC"/>
    <w:rsid w:val="005F587E"/>
    <w:rsid w:val="006035F9"/>
    <w:rsid w:val="00611736"/>
    <w:rsid w:val="00615C7E"/>
    <w:rsid w:val="00621BDE"/>
    <w:rsid w:val="0062305B"/>
    <w:rsid w:val="00672C51"/>
    <w:rsid w:val="00681635"/>
    <w:rsid w:val="006818FC"/>
    <w:rsid w:val="006852C4"/>
    <w:rsid w:val="006A6B49"/>
    <w:rsid w:val="006B0E3F"/>
    <w:rsid w:val="006B75E9"/>
    <w:rsid w:val="006C0123"/>
    <w:rsid w:val="006C2A17"/>
    <w:rsid w:val="006D11DE"/>
    <w:rsid w:val="006E701B"/>
    <w:rsid w:val="006F1B65"/>
    <w:rsid w:val="006F77B1"/>
    <w:rsid w:val="007116FD"/>
    <w:rsid w:val="007542AD"/>
    <w:rsid w:val="007576FD"/>
    <w:rsid w:val="00767BFB"/>
    <w:rsid w:val="00777478"/>
    <w:rsid w:val="00783399"/>
    <w:rsid w:val="007B34A9"/>
    <w:rsid w:val="007C23B7"/>
    <w:rsid w:val="007D0ACF"/>
    <w:rsid w:val="007F5667"/>
    <w:rsid w:val="007F76E5"/>
    <w:rsid w:val="00807B9A"/>
    <w:rsid w:val="00810BD9"/>
    <w:rsid w:val="0082255E"/>
    <w:rsid w:val="008665D9"/>
    <w:rsid w:val="008734D8"/>
    <w:rsid w:val="00876F68"/>
    <w:rsid w:val="00895D11"/>
    <w:rsid w:val="008B076F"/>
    <w:rsid w:val="008D75AC"/>
    <w:rsid w:val="008F5C97"/>
    <w:rsid w:val="008F6CFB"/>
    <w:rsid w:val="0090002E"/>
    <w:rsid w:val="00913279"/>
    <w:rsid w:val="009634DD"/>
    <w:rsid w:val="0099468B"/>
    <w:rsid w:val="009947FA"/>
    <w:rsid w:val="009D7795"/>
    <w:rsid w:val="00A06224"/>
    <w:rsid w:val="00A10BE3"/>
    <w:rsid w:val="00A1596F"/>
    <w:rsid w:val="00A33011"/>
    <w:rsid w:val="00A508CC"/>
    <w:rsid w:val="00AA04EE"/>
    <w:rsid w:val="00B03ADF"/>
    <w:rsid w:val="00B048F0"/>
    <w:rsid w:val="00B060CD"/>
    <w:rsid w:val="00B2781A"/>
    <w:rsid w:val="00B33E53"/>
    <w:rsid w:val="00B50376"/>
    <w:rsid w:val="00B531A0"/>
    <w:rsid w:val="00B612ED"/>
    <w:rsid w:val="00B62264"/>
    <w:rsid w:val="00B67B5D"/>
    <w:rsid w:val="00B943E9"/>
    <w:rsid w:val="00B95846"/>
    <w:rsid w:val="00BC66CE"/>
    <w:rsid w:val="00BD68CA"/>
    <w:rsid w:val="00C17175"/>
    <w:rsid w:val="00C44F63"/>
    <w:rsid w:val="00C6017F"/>
    <w:rsid w:val="00C769FA"/>
    <w:rsid w:val="00C80DFB"/>
    <w:rsid w:val="00C8172D"/>
    <w:rsid w:val="00C9358C"/>
    <w:rsid w:val="00CB4DE3"/>
    <w:rsid w:val="00CE208C"/>
    <w:rsid w:val="00CF41CE"/>
    <w:rsid w:val="00CF7C18"/>
    <w:rsid w:val="00D17632"/>
    <w:rsid w:val="00D20493"/>
    <w:rsid w:val="00D36390"/>
    <w:rsid w:val="00D467B2"/>
    <w:rsid w:val="00D7153B"/>
    <w:rsid w:val="00D74696"/>
    <w:rsid w:val="00D8134F"/>
    <w:rsid w:val="00DB65A6"/>
    <w:rsid w:val="00DF7AE1"/>
    <w:rsid w:val="00E014E6"/>
    <w:rsid w:val="00E06B65"/>
    <w:rsid w:val="00E12103"/>
    <w:rsid w:val="00E423F4"/>
    <w:rsid w:val="00E57C01"/>
    <w:rsid w:val="00E628A1"/>
    <w:rsid w:val="00E753EB"/>
    <w:rsid w:val="00EB3B81"/>
    <w:rsid w:val="00EE04E2"/>
    <w:rsid w:val="00EF48A4"/>
    <w:rsid w:val="00EF56B0"/>
    <w:rsid w:val="00F075DB"/>
    <w:rsid w:val="00F42647"/>
    <w:rsid w:val="00F43758"/>
    <w:rsid w:val="00F516D6"/>
    <w:rsid w:val="00F70AAF"/>
    <w:rsid w:val="00F84960"/>
    <w:rsid w:val="00FB42C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lsdException w:name="Strong" w:uiPriority="22"/>
    <w:lsdException w:name="Emphasis" w:uiPriority="20"/>
    <w:lsdException w:name="Normal (Web)" w:uiPriority="99"/>
  </w:latentStyles>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6733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espertaferro-ediciones.com/autor/david-m-glantz/" TargetMode="External"/><Relationship Id="rId20" Type="http://schemas.microsoft.com/office/2007/relationships/stylesWithEffects" Target="stylesWithEffects.xml"/><Relationship Id="rId10" Type="http://schemas.openxmlformats.org/officeDocument/2006/relationships/hyperlink" Target="https://www.despertaferro-ediciones.com/revistas/numero/frente-del-este-choque-de-titanes/" TargetMode="External"/><Relationship Id="rId11" Type="http://schemas.openxmlformats.org/officeDocument/2006/relationships/hyperlink" Target="https://www.despertaferro-ediciones.com/revistas/numero/a-las-puertas-de-stalingrado/" TargetMode="External"/><Relationship Id="rId12" Type="http://schemas.openxmlformats.org/officeDocument/2006/relationships/hyperlink" Target="https://www.despertaferro-ediciones.com/revistas/numero/la-batalla-por-leningrado/" TargetMode="External"/><Relationship Id="rId13" Type="http://schemas.openxmlformats.org/officeDocument/2006/relationships/hyperlink" Target="https://www.despertaferro-ediciones.com/descargas/"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yperlink" Target="https://www.despertaferro-ediciones.com/descargas/"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B771E-3FEF-DB4B-8FF8-6B39D054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620</Words>
  <Characters>3537</Characters>
  <Application>Microsoft Macintosh Word</Application>
  <DocSecurity>0</DocSecurity>
  <Lines>29</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22</cp:revision>
  <dcterms:created xsi:type="dcterms:W3CDTF">2017-08-25T09:49:00Z</dcterms:created>
  <dcterms:modified xsi:type="dcterms:W3CDTF">2018-03-20T08:15:00Z</dcterms:modified>
</cp:coreProperties>
</file>