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0CC" w:rsidRPr="00F770CC" w:rsidRDefault="00B97286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5EE661CE">
          <v:rect id="Rectangle 2" o:spid="_x0000_s1030" style="position:absolute;left:0;text-align:left;margin-left:-58.7pt;margin-top:-63.2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</w:p>
                <w:p w:rsidR="00867EA0" w:rsidRDefault="00867EA0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936">
        <w:rPr>
          <w:rFonts w:asciiTheme="majorHAnsi" w:hAnsiTheme="majorHAnsi"/>
          <w:b/>
          <w:color w:val="8C1A21"/>
          <w:sz w:val="36"/>
          <w:szCs w:val="36"/>
        </w:rPr>
        <w:t>Operación Urano, el letal zarpazo soviético en Stalingrado</w:t>
      </w:r>
    </w:p>
    <w:p w:rsidR="00FF0F98" w:rsidRPr="008E64D5" w:rsidRDefault="000446AD" w:rsidP="00D10D53">
      <w:pPr>
        <w:spacing w:before="360"/>
        <w:ind w:left="-900" w:right="-907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8E64D5">
        <w:rPr>
          <w:rFonts w:asciiTheme="majorHAnsi" w:hAnsiTheme="majorHAnsi"/>
          <w:b/>
          <w:sz w:val="24"/>
          <w:szCs w:val="24"/>
        </w:rPr>
        <w:t>Noviembre de 1942, la Segunda Guerra Mundial entra en su punto de inflexión. Tras un avance triunfal hacia el Volga y una feroz batalla en las ruinas de Stalingrado, la victoria final de la Alemania de Hitler sobre la exhausta Unión Soviética parecía incontestable. Sin embargo, el Ejército Rojo</w:t>
      </w:r>
      <w:r w:rsidR="008E64D5" w:rsidRPr="008E64D5">
        <w:rPr>
          <w:rFonts w:asciiTheme="majorHAnsi" w:hAnsiTheme="majorHAnsi"/>
          <w:b/>
          <w:sz w:val="24"/>
          <w:szCs w:val="24"/>
        </w:rPr>
        <w:t xml:space="preserve">, alumno aventajado de la </w:t>
      </w:r>
      <w:proofErr w:type="spellStart"/>
      <w:r w:rsidR="008E64D5" w:rsidRPr="008E64D5">
        <w:rPr>
          <w:rFonts w:asciiTheme="majorHAnsi" w:hAnsiTheme="majorHAnsi"/>
          <w:b/>
          <w:sz w:val="24"/>
          <w:szCs w:val="24"/>
        </w:rPr>
        <w:t>Wehrmacht</w:t>
      </w:r>
      <w:proofErr w:type="spellEnd"/>
      <w:r w:rsidR="008E64D5" w:rsidRPr="008E64D5">
        <w:rPr>
          <w:rFonts w:asciiTheme="majorHAnsi" w:hAnsiTheme="majorHAnsi"/>
          <w:b/>
          <w:sz w:val="24"/>
          <w:szCs w:val="24"/>
        </w:rPr>
        <w:t>, desencadenó una titánica ofensiva</w:t>
      </w:r>
      <w:r w:rsidR="008E64D5">
        <w:rPr>
          <w:rFonts w:asciiTheme="majorHAnsi" w:hAnsiTheme="majorHAnsi"/>
          <w:b/>
          <w:sz w:val="24"/>
          <w:szCs w:val="24"/>
        </w:rPr>
        <w:t>, Urano,</w:t>
      </w:r>
      <w:r w:rsidR="008E64D5" w:rsidRPr="008E64D5">
        <w:rPr>
          <w:rFonts w:asciiTheme="majorHAnsi" w:hAnsiTheme="majorHAnsi"/>
          <w:b/>
          <w:sz w:val="24"/>
          <w:szCs w:val="24"/>
        </w:rPr>
        <w:t xml:space="preserve"> que cambiaría el sino de la guerra. </w:t>
      </w:r>
    </w:p>
    <w:p w:rsidR="005F431E" w:rsidRPr="00FF0F98" w:rsidRDefault="00094488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270510</wp:posOffset>
            </wp:positionV>
            <wp:extent cx="1652270" cy="2506980"/>
            <wp:effectExtent l="12700" t="1270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506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6543" w:rsidRPr="008E64D5" w:rsidRDefault="00413936" w:rsidP="00A66543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  <w:r w:rsidRPr="008E64D5">
        <w:rPr>
          <w:rFonts w:asciiTheme="majorHAnsi" w:hAnsiTheme="majorHAnsi"/>
          <w:sz w:val="21"/>
          <w:szCs w:val="21"/>
          <w:lang w:val="ca-ES"/>
        </w:rPr>
        <w:t>23</w:t>
      </w:r>
      <w:r w:rsidR="00A66543" w:rsidRPr="008E64D5">
        <w:rPr>
          <w:rFonts w:asciiTheme="majorHAnsi" w:hAnsiTheme="majorHAnsi"/>
          <w:sz w:val="21"/>
          <w:szCs w:val="21"/>
        </w:rPr>
        <w:t>-5-202</w:t>
      </w:r>
      <w:r w:rsidR="0080145D" w:rsidRPr="008E64D5">
        <w:rPr>
          <w:rFonts w:asciiTheme="majorHAnsi" w:hAnsiTheme="majorHAnsi"/>
          <w:sz w:val="21"/>
          <w:szCs w:val="21"/>
        </w:rPr>
        <w:t>2</w:t>
      </w:r>
      <w:r w:rsidR="00A66543" w:rsidRPr="008E64D5">
        <w:rPr>
          <w:rFonts w:asciiTheme="majorHAnsi" w:hAnsiTheme="majorHAnsi"/>
          <w:sz w:val="21"/>
          <w:szCs w:val="21"/>
        </w:rPr>
        <w:t xml:space="preserve"> – La editorial </w:t>
      </w:r>
      <w:proofErr w:type="spellStart"/>
      <w:r w:rsidR="00A66543" w:rsidRPr="008E64D5">
        <w:rPr>
          <w:rFonts w:asciiTheme="majorHAnsi" w:hAnsiTheme="majorHAnsi"/>
          <w:sz w:val="21"/>
          <w:szCs w:val="21"/>
        </w:rPr>
        <w:t>Desperta</w:t>
      </w:r>
      <w:proofErr w:type="spellEnd"/>
      <w:r w:rsidR="00A66543" w:rsidRPr="008E64D5">
        <w:rPr>
          <w:rFonts w:asciiTheme="majorHAnsi" w:hAnsiTheme="majorHAnsi"/>
          <w:sz w:val="21"/>
          <w:szCs w:val="21"/>
        </w:rPr>
        <w:t xml:space="preserve"> Ferro Ediciones publica </w:t>
      </w:r>
      <w:r w:rsidR="000446AD" w:rsidRPr="008E64D5">
        <w:rPr>
          <w:rFonts w:asciiTheme="majorHAnsi" w:hAnsiTheme="majorHAnsi"/>
          <w:i/>
          <w:iCs/>
          <w:sz w:val="21"/>
          <w:szCs w:val="21"/>
        </w:rPr>
        <w:t>Desenlace en Stalingrado (I)</w:t>
      </w:r>
      <w:r w:rsidR="000446AD" w:rsidRPr="008E64D5">
        <w:rPr>
          <w:rFonts w:asciiTheme="majorHAnsi" w:hAnsiTheme="majorHAnsi"/>
          <w:sz w:val="21"/>
          <w:szCs w:val="21"/>
        </w:rPr>
        <w:t xml:space="preserve">. </w:t>
      </w:r>
      <w:r w:rsidR="000446AD" w:rsidRPr="008E64D5">
        <w:rPr>
          <w:rFonts w:asciiTheme="majorHAnsi" w:hAnsiTheme="majorHAnsi"/>
          <w:i/>
          <w:iCs/>
          <w:sz w:val="21"/>
          <w:szCs w:val="21"/>
        </w:rPr>
        <w:t>Operación Urano</w:t>
      </w:r>
      <w:r w:rsidR="000446AD" w:rsidRPr="008E64D5">
        <w:rPr>
          <w:rFonts w:asciiTheme="majorHAnsi" w:hAnsiTheme="majorHAnsi"/>
          <w:sz w:val="21"/>
          <w:szCs w:val="21"/>
        </w:rPr>
        <w:t xml:space="preserve">, de David M. </w:t>
      </w:r>
      <w:proofErr w:type="spellStart"/>
      <w:r w:rsidR="000446AD" w:rsidRPr="008E64D5">
        <w:rPr>
          <w:rFonts w:asciiTheme="majorHAnsi" w:hAnsiTheme="majorHAnsi"/>
          <w:sz w:val="21"/>
          <w:szCs w:val="21"/>
        </w:rPr>
        <w:t>Glantz</w:t>
      </w:r>
      <w:proofErr w:type="spellEnd"/>
      <w:r w:rsidR="000446AD" w:rsidRPr="008E64D5">
        <w:rPr>
          <w:rFonts w:asciiTheme="majorHAnsi" w:hAnsiTheme="majorHAnsi"/>
          <w:sz w:val="21"/>
          <w:szCs w:val="21"/>
        </w:rPr>
        <w:t xml:space="preserve"> y Jonathan M. </w:t>
      </w:r>
      <w:proofErr w:type="spellStart"/>
      <w:r w:rsidR="000446AD" w:rsidRPr="008E64D5">
        <w:rPr>
          <w:rFonts w:asciiTheme="majorHAnsi" w:hAnsiTheme="majorHAnsi"/>
          <w:sz w:val="21"/>
          <w:szCs w:val="21"/>
        </w:rPr>
        <w:t>House</w:t>
      </w:r>
      <w:proofErr w:type="spellEnd"/>
      <w:r w:rsidR="00A66543" w:rsidRPr="008E64D5">
        <w:rPr>
          <w:rFonts w:asciiTheme="majorHAnsi" w:hAnsiTheme="majorHAnsi"/>
          <w:iCs/>
          <w:sz w:val="21"/>
          <w:szCs w:val="21"/>
        </w:rPr>
        <w:t>.</w:t>
      </w:r>
    </w:p>
    <w:p w:rsidR="00A66543" w:rsidRPr="008E64D5" w:rsidRDefault="00A66543" w:rsidP="00A66543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</w:p>
    <w:p w:rsidR="00413936" w:rsidRPr="008E64D5" w:rsidRDefault="00413936" w:rsidP="00413936">
      <w:pPr>
        <w:ind w:left="-901" w:right="-901"/>
        <w:jc w:val="both"/>
        <w:rPr>
          <w:rFonts w:asciiTheme="majorHAnsi" w:hAnsiTheme="majorHAnsi"/>
          <w:sz w:val="21"/>
          <w:szCs w:val="21"/>
        </w:rPr>
      </w:pPr>
      <w:r w:rsidRPr="008E64D5">
        <w:rPr>
          <w:rFonts w:asciiTheme="majorHAnsi" w:hAnsiTheme="majorHAnsi"/>
          <w:sz w:val="21"/>
          <w:szCs w:val="21"/>
        </w:rPr>
        <w:t xml:space="preserve">Tercer volumen de la monumental obra de David M. </w:t>
      </w:r>
      <w:proofErr w:type="spellStart"/>
      <w:r w:rsidRPr="008E64D5">
        <w:rPr>
          <w:rFonts w:asciiTheme="majorHAnsi" w:hAnsiTheme="majorHAnsi"/>
          <w:sz w:val="21"/>
          <w:szCs w:val="21"/>
        </w:rPr>
        <w:t>Glantz</w:t>
      </w:r>
      <w:proofErr w:type="spellEnd"/>
      <w:r w:rsidRPr="008E64D5">
        <w:rPr>
          <w:rFonts w:asciiTheme="majorHAnsi" w:hAnsiTheme="majorHAnsi"/>
          <w:sz w:val="21"/>
          <w:szCs w:val="21"/>
        </w:rPr>
        <w:t xml:space="preserve"> sobre la que, probablemente, fue la batalla más decisiva de la Segunda Guerra Mundial: Stalingrado. El épico choque que marcó el fracaso de Alemania en el frente oriental estaba entrando en su sombría fase final. Tras </w:t>
      </w:r>
      <w:r w:rsidRPr="008E64D5">
        <w:rPr>
          <w:rFonts w:asciiTheme="majorHAnsi" w:hAnsiTheme="majorHAnsi"/>
          <w:i/>
          <w:iCs/>
          <w:sz w:val="21"/>
          <w:szCs w:val="21"/>
        </w:rPr>
        <w:t>A las puertas de Stalingrado</w:t>
      </w:r>
      <w:r w:rsidRPr="008E64D5">
        <w:rPr>
          <w:rFonts w:asciiTheme="majorHAnsi" w:hAnsiTheme="majorHAnsi"/>
          <w:sz w:val="21"/>
          <w:szCs w:val="21"/>
        </w:rPr>
        <w:t xml:space="preserve">, que terminaba con el Sexto Ejército ya desviado de su objetivo original, los campos petrolíferos del Cáucaso, y </w:t>
      </w:r>
      <w:r w:rsidRPr="008E64D5">
        <w:rPr>
          <w:rFonts w:asciiTheme="majorHAnsi" w:hAnsiTheme="majorHAnsi"/>
          <w:i/>
          <w:iCs/>
          <w:sz w:val="21"/>
          <w:szCs w:val="21"/>
        </w:rPr>
        <w:t>Armagedón en Stalingrado</w:t>
      </w:r>
      <w:r w:rsidRPr="008E64D5">
        <w:rPr>
          <w:rFonts w:asciiTheme="majorHAnsi" w:hAnsiTheme="majorHAnsi"/>
          <w:sz w:val="21"/>
          <w:szCs w:val="21"/>
        </w:rPr>
        <w:t xml:space="preserve">, en el que se vio arrastrado a una infinita guerra de desgaste dentro de una ciudad devastada, ahora veremos cuáles fueron las consecuencias de tensar al límite sus fuerzas. Tras tantear y errar sucesivas veces para encontrar las debilidades en las defensas del Eje, la </w:t>
      </w:r>
      <w:proofErr w:type="spellStart"/>
      <w:r w:rsidRPr="008E64D5">
        <w:rPr>
          <w:rFonts w:asciiTheme="majorHAnsi" w:hAnsiTheme="majorHAnsi"/>
          <w:i/>
          <w:iCs/>
          <w:sz w:val="21"/>
          <w:szCs w:val="21"/>
        </w:rPr>
        <w:t>Stavka</w:t>
      </w:r>
      <w:proofErr w:type="spellEnd"/>
      <w:r w:rsidRPr="008E64D5">
        <w:rPr>
          <w:rFonts w:asciiTheme="majorHAnsi" w:hAnsiTheme="majorHAnsi"/>
          <w:sz w:val="21"/>
          <w:szCs w:val="21"/>
        </w:rPr>
        <w:t xml:space="preserve">, el alto mando del Ejército Rojo, cada vez más sofisticado, pudo aprovechar sus ingentes recursos humanos para, a mediados de noviembre de 1942, lanzar una audaz y devastadora contraofensiva, la Operación Urano. En </w:t>
      </w:r>
      <w:r w:rsidRPr="008E64D5">
        <w:rPr>
          <w:rFonts w:asciiTheme="majorHAnsi" w:hAnsiTheme="majorHAnsi"/>
          <w:i/>
          <w:iCs/>
          <w:sz w:val="21"/>
          <w:szCs w:val="21"/>
        </w:rPr>
        <w:t>Desenlace en Stalingrado (I)</w:t>
      </w:r>
      <w:r w:rsidRPr="008E64D5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8E64D5">
        <w:rPr>
          <w:rFonts w:asciiTheme="majorHAnsi" w:hAnsiTheme="majorHAnsi"/>
          <w:sz w:val="21"/>
          <w:szCs w:val="21"/>
        </w:rPr>
        <w:t>Glantz</w:t>
      </w:r>
      <w:proofErr w:type="spellEnd"/>
      <w:r w:rsidRPr="008E64D5">
        <w:rPr>
          <w:rFonts w:asciiTheme="majorHAnsi" w:hAnsiTheme="majorHAnsi"/>
          <w:sz w:val="21"/>
          <w:szCs w:val="21"/>
        </w:rPr>
        <w:t xml:space="preserve"> hace un detallado y vívido relato sobre cómo los tres frentes del Ejército Rojo derrotaron y destruyeron a dos ejércitos rumanos y rodearon al Sexto Ejército alemán y a la mitad del Cuarto Ejército </w:t>
      </w:r>
      <w:proofErr w:type="spellStart"/>
      <w:r w:rsidRPr="008E64D5">
        <w:rPr>
          <w:rFonts w:asciiTheme="majorHAnsi" w:hAnsiTheme="majorHAnsi"/>
          <w:sz w:val="21"/>
          <w:szCs w:val="21"/>
        </w:rPr>
        <w:t>Panzer</w:t>
      </w:r>
      <w:proofErr w:type="spellEnd"/>
      <w:r w:rsidRPr="008E64D5">
        <w:rPr>
          <w:rFonts w:asciiTheme="majorHAnsi" w:hAnsiTheme="majorHAnsi"/>
          <w:sz w:val="21"/>
          <w:szCs w:val="21"/>
        </w:rPr>
        <w:t xml:space="preserve"> en la bolsa de Stalingrado en una titánica operación que dinamitaría la estrategia de guerra alemana y supondría un punto de inflexión fundamental en el desarrollo de la Segunda Guerra Mundial en el frente del este. Como en los volúmenes anteriores, el autor usa fuentes antes vetadas o que se presumían perdidas, como informes del diario de combate del Sexto Ejército y registros soviéticos recientemente desclasificados. Materiales que ayudan a argumentar una interpretación sorprendentemente nueva de la planificación y ejecución de esta crucial campaña por ambos bandos, en el que, y aquí no es un adjetivo baladí, es el relato definitivo sobre Stalingrado.</w:t>
      </w:r>
    </w:p>
    <w:p w:rsidR="006F1C0E" w:rsidRPr="00192995" w:rsidRDefault="00A7219A" w:rsidP="00413936">
      <w:pPr>
        <w:ind w:left="-901" w:right="-901"/>
        <w:jc w:val="both"/>
        <w:rPr>
          <w:rFonts w:asciiTheme="majorHAnsi" w:hAnsiTheme="majorHAnsi"/>
          <w:b/>
          <w:bCs/>
          <w:color w:val="C00000"/>
          <w:sz w:val="20"/>
          <w:szCs w:val="20"/>
        </w:rPr>
      </w:pPr>
      <w:r w:rsidRPr="00413936">
        <w:rPr>
          <w:rFonts w:asciiTheme="majorHAnsi" w:hAnsi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-495935</wp:posOffset>
            </wp:positionH>
            <wp:positionV relativeFrom="paragraph">
              <wp:posOffset>270510</wp:posOffset>
            </wp:positionV>
            <wp:extent cx="1059815" cy="1059815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5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936" w:rsidRPr="008E64D5" w:rsidRDefault="00413936" w:rsidP="00413936">
      <w:pPr>
        <w:ind w:left="-901" w:right="-901"/>
        <w:jc w:val="both"/>
        <w:rPr>
          <w:rFonts w:asciiTheme="majorHAnsi" w:hAnsiTheme="majorHAnsi"/>
          <w:sz w:val="21"/>
          <w:szCs w:val="21"/>
        </w:rPr>
      </w:pPr>
      <w:r w:rsidRPr="008E64D5">
        <w:rPr>
          <w:rFonts w:asciiTheme="majorHAnsi" w:hAnsiTheme="majorHAnsi"/>
          <w:b/>
          <w:bCs/>
          <w:sz w:val="21"/>
          <w:szCs w:val="21"/>
        </w:rPr>
        <w:t xml:space="preserve">David M. </w:t>
      </w:r>
      <w:proofErr w:type="spellStart"/>
      <w:r w:rsidRPr="008E64D5">
        <w:rPr>
          <w:rFonts w:asciiTheme="majorHAnsi" w:hAnsiTheme="majorHAnsi"/>
          <w:b/>
          <w:bCs/>
          <w:sz w:val="21"/>
          <w:szCs w:val="21"/>
        </w:rPr>
        <w:t>Glantz</w:t>
      </w:r>
      <w:proofErr w:type="spellEnd"/>
      <w:r w:rsidRPr="008E64D5">
        <w:rPr>
          <w:rFonts w:asciiTheme="majorHAnsi" w:hAnsiTheme="majorHAnsi"/>
          <w:sz w:val="21"/>
          <w:szCs w:val="21"/>
        </w:rPr>
        <w:t xml:space="preserve"> está considerado el mayor experto occidental en la Gran Guerra Patriótica y en el Ejército Rojo durante la Segunda Guerra Mundial. Miembro de la Academia de Ciencias Naturales de la Federación Rusa, entre sus obras destacan Choque de titanes, La batalla por Leningrado y su monumental Tetralogía de Stalingrado.</w:t>
      </w:r>
    </w:p>
    <w:p w:rsidR="00413936" w:rsidRPr="008E64D5" w:rsidRDefault="00413936" w:rsidP="00413936">
      <w:pPr>
        <w:ind w:right="-901"/>
        <w:jc w:val="center"/>
        <w:rPr>
          <w:rFonts w:asciiTheme="majorHAnsi" w:hAnsiTheme="majorHAnsi"/>
          <w:b/>
          <w:bCs/>
          <w:color w:val="C00000"/>
          <w:sz w:val="21"/>
          <w:szCs w:val="21"/>
          <w:lang w:val="en-US"/>
        </w:rPr>
      </w:pPr>
      <w:bookmarkStart w:id="0" w:name="_GoBack"/>
      <w:r w:rsidRPr="008E64D5">
        <w:rPr>
          <w:rFonts w:asciiTheme="majorHAnsi" w:hAnsiTheme="majorHAnsi"/>
          <w:b/>
          <w:bCs/>
          <w:color w:val="C00000"/>
          <w:sz w:val="21"/>
          <w:szCs w:val="21"/>
          <w:lang w:val="en-US"/>
        </w:rPr>
        <w:t>Pritzker Military Museum &amp; Library Literature Award for Lifetime Achievement in Military Writing</w:t>
      </w:r>
    </w:p>
    <w:bookmarkEnd w:id="0"/>
    <w:p w:rsidR="0049431E" w:rsidRPr="008E64D5" w:rsidRDefault="00094488" w:rsidP="008E64D5">
      <w:pPr>
        <w:ind w:left="-907" w:right="-901"/>
        <w:jc w:val="both"/>
        <w:rPr>
          <w:rFonts w:asciiTheme="majorHAnsi" w:hAnsiTheme="majorHAnsi"/>
          <w:b/>
          <w:bCs/>
          <w:color w:val="C00000"/>
          <w:sz w:val="21"/>
          <w:szCs w:val="21"/>
        </w:rPr>
      </w:pPr>
      <w:r w:rsidRPr="008E64D5">
        <w:rPr>
          <w:rFonts w:asciiTheme="majorHAnsi" w:hAnsiTheme="majorHAnsi"/>
          <w:sz w:val="21"/>
          <w:szCs w:val="21"/>
        </w:rPr>
        <w:t>En librerías</w:t>
      </w:r>
      <w:r w:rsidR="0035072A" w:rsidRPr="008E64D5">
        <w:rPr>
          <w:rFonts w:asciiTheme="majorHAnsi" w:hAnsiTheme="majorHAnsi"/>
          <w:sz w:val="21"/>
          <w:szCs w:val="21"/>
        </w:rPr>
        <w:t xml:space="preserve"> el </w:t>
      </w:r>
      <w:r w:rsidR="00DB2EF7" w:rsidRPr="008E64D5">
        <w:rPr>
          <w:rFonts w:asciiTheme="majorHAnsi" w:hAnsiTheme="majorHAnsi"/>
          <w:sz w:val="21"/>
          <w:szCs w:val="21"/>
        </w:rPr>
        <w:t>miércoles</w:t>
      </w:r>
      <w:r w:rsidR="00083532" w:rsidRPr="008E64D5">
        <w:rPr>
          <w:rFonts w:asciiTheme="majorHAnsi" w:hAnsiTheme="majorHAnsi"/>
          <w:sz w:val="21"/>
          <w:szCs w:val="21"/>
        </w:rPr>
        <w:t xml:space="preserve"> </w:t>
      </w:r>
      <w:r w:rsidR="00413936" w:rsidRPr="008E64D5">
        <w:rPr>
          <w:rFonts w:asciiTheme="majorHAnsi" w:hAnsiTheme="majorHAnsi"/>
          <w:sz w:val="21"/>
          <w:szCs w:val="21"/>
        </w:rPr>
        <w:t>25</w:t>
      </w:r>
      <w:r w:rsidR="00083532" w:rsidRPr="008E64D5">
        <w:rPr>
          <w:rFonts w:asciiTheme="majorHAnsi" w:hAnsiTheme="majorHAnsi"/>
          <w:sz w:val="21"/>
          <w:szCs w:val="21"/>
        </w:rPr>
        <w:t xml:space="preserve"> de </w:t>
      </w:r>
      <w:r w:rsidR="00E133F7" w:rsidRPr="008E64D5">
        <w:rPr>
          <w:rFonts w:asciiTheme="majorHAnsi" w:hAnsiTheme="majorHAnsi"/>
          <w:sz w:val="21"/>
          <w:szCs w:val="21"/>
        </w:rPr>
        <w:t>mayo</w:t>
      </w:r>
      <w:r w:rsidR="006D4CF1" w:rsidRPr="008E64D5">
        <w:rPr>
          <w:rFonts w:asciiTheme="majorHAnsi" w:hAnsiTheme="majorHAnsi"/>
          <w:sz w:val="21"/>
          <w:szCs w:val="21"/>
        </w:rPr>
        <w:t xml:space="preserve">. Pincha en este </w:t>
      </w:r>
      <w:hyperlink r:id="rId11" w:history="1">
        <w:r w:rsidR="006D4CF1" w:rsidRPr="008E64D5">
          <w:rPr>
            <w:rStyle w:val="Hipervnculo"/>
            <w:rFonts w:asciiTheme="majorHAnsi" w:hAnsiTheme="majorHAnsi"/>
            <w:sz w:val="21"/>
            <w:szCs w:val="21"/>
          </w:rPr>
          <w:t>enlace</w:t>
        </w:r>
      </w:hyperlink>
      <w:r w:rsidR="0049431E" w:rsidRPr="008E64D5">
        <w:rPr>
          <w:rFonts w:asciiTheme="majorHAnsi" w:hAnsiTheme="majorHAnsi"/>
          <w:sz w:val="21"/>
          <w:szCs w:val="21"/>
        </w:rPr>
        <w:t xml:space="preserve"> para obtene</w:t>
      </w:r>
      <w:r w:rsidR="006D4CF1" w:rsidRPr="008E64D5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2" w:anchor="catalogo-de-publicaciones" w:history="1">
        <w:r w:rsidR="006D4CF1" w:rsidRPr="008E64D5">
          <w:rPr>
            <w:rStyle w:val="Hipervnculo"/>
            <w:rFonts w:asciiTheme="majorHAnsi" w:hAnsiTheme="majorHAnsi"/>
            <w:sz w:val="21"/>
            <w:szCs w:val="21"/>
          </w:rPr>
          <w:t>aquí</w:t>
        </w:r>
      </w:hyperlink>
      <w:r w:rsidR="006D4CF1" w:rsidRPr="008E64D5">
        <w:rPr>
          <w:rFonts w:asciiTheme="majorHAnsi" w:hAnsiTheme="majorHAnsi"/>
          <w:sz w:val="21"/>
          <w:szCs w:val="21"/>
        </w:rPr>
        <w:t xml:space="preserve"> para consultar nuestro Catálogo de publicaciones.</w:t>
      </w:r>
    </w:p>
    <w:p w:rsidR="0049431E" w:rsidRPr="008E64D5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 xml:space="preserve">Contacto y </w:t>
      </w:r>
      <w:proofErr w:type="spellStart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entrevistas</w:t>
      </w:r>
      <w:proofErr w:type="spellEnd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:</w:t>
      </w:r>
    </w:p>
    <w:p w:rsidR="00777478" w:rsidRPr="00AA04EE" w:rsidRDefault="008E64D5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286">
        <w:rPr>
          <w:noProof/>
        </w:rPr>
        <w:pict w14:anchorId="6865CBAC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5.15pt;margin-top:46.5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B97286">
        <w:rPr>
          <w:noProof/>
        </w:rPr>
        <w:pict w14:anchorId="31464595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8E64D5">
        <w:rPr>
          <w:rFonts w:asciiTheme="majorHAnsi" w:hAnsiTheme="majorHAnsi"/>
          <w:sz w:val="21"/>
          <w:szCs w:val="21"/>
        </w:rPr>
        <w:t xml:space="preserve">Javier Gómez </w:t>
      </w:r>
      <w:r w:rsidR="00337D31" w:rsidRPr="008E64D5">
        <w:rPr>
          <w:rFonts w:asciiTheme="majorHAnsi" w:hAnsiTheme="majorHAnsi"/>
          <w:sz w:val="21"/>
          <w:szCs w:val="21"/>
        </w:rPr>
        <w:t>Valero - Comunicación</w:t>
      </w:r>
      <w:r w:rsidR="00FB42C9" w:rsidRPr="008E64D5">
        <w:rPr>
          <w:rFonts w:asciiTheme="majorHAnsi" w:hAnsiTheme="majorHAnsi"/>
          <w:sz w:val="21"/>
          <w:szCs w:val="21"/>
        </w:rPr>
        <w:br/>
      </w:r>
      <w:r w:rsidR="00A10BE3" w:rsidRPr="008E64D5">
        <w:rPr>
          <w:rFonts w:asciiTheme="majorHAnsi" w:hAnsiTheme="majorHAnsi"/>
          <w:sz w:val="21"/>
          <w:szCs w:val="21"/>
        </w:rPr>
        <w:t>T</w:t>
      </w:r>
      <w:r w:rsidR="008F6CFB" w:rsidRPr="008E64D5">
        <w:rPr>
          <w:rFonts w:asciiTheme="majorHAnsi" w:hAnsiTheme="majorHAnsi"/>
          <w:sz w:val="21"/>
          <w:szCs w:val="21"/>
        </w:rPr>
        <w:t>el</w:t>
      </w:r>
      <w:r w:rsidR="00A10BE3" w:rsidRPr="008E64D5">
        <w:rPr>
          <w:rFonts w:asciiTheme="majorHAnsi" w:hAnsiTheme="majorHAnsi"/>
          <w:sz w:val="21"/>
          <w:szCs w:val="21"/>
        </w:rPr>
        <w:t>.  </w:t>
      </w:r>
      <w:r w:rsidR="00CE208C" w:rsidRPr="008E64D5">
        <w:rPr>
          <w:rFonts w:asciiTheme="majorHAnsi" w:hAnsiTheme="majorHAnsi"/>
          <w:sz w:val="21"/>
          <w:szCs w:val="21"/>
        </w:rPr>
        <w:t>658 160 824</w:t>
      </w:r>
      <w:r w:rsidR="000061C7" w:rsidRPr="008E64D5">
        <w:rPr>
          <w:rFonts w:asciiTheme="majorHAnsi" w:hAnsiTheme="majorHAnsi"/>
          <w:sz w:val="21"/>
          <w:szCs w:val="21"/>
        </w:rPr>
        <w:t xml:space="preserve"> - </w:t>
      </w:r>
      <w:hyperlink r:id="rId15" w:history="1">
        <w:r w:rsidR="0035072A" w:rsidRPr="008E64D5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  <w:r w:rsidR="00B97286">
        <w:rPr>
          <w:noProof/>
        </w:rPr>
        <w:pict w14:anchorId="525EDFEC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B97286">
        <w:rPr>
          <w:noProof/>
        </w:rPr>
        <w:pict w14:anchorId="1A8E1F10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7286" w:rsidRDefault="00B97286" w:rsidP="008B076F">
      <w:pPr>
        <w:spacing w:after="0" w:line="240" w:lineRule="auto"/>
      </w:pPr>
      <w:r>
        <w:separator/>
      </w:r>
    </w:p>
  </w:endnote>
  <w:endnote w:type="continuationSeparator" w:id="0">
    <w:p w:rsidR="00B97286" w:rsidRDefault="00B97286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100040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7286" w:rsidRDefault="00B97286" w:rsidP="008B076F">
      <w:pPr>
        <w:spacing w:after="0" w:line="240" w:lineRule="auto"/>
      </w:pPr>
      <w:r>
        <w:separator/>
      </w:r>
    </w:p>
  </w:footnote>
  <w:footnote w:type="continuationSeparator" w:id="0">
    <w:p w:rsidR="00B97286" w:rsidRDefault="00B97286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570A7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F68F6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446AD"/>
    <w:rsid w:val="000523B2"/>
    <w:rsid w:val="00055C1D"/>
    <w:rsid w:val="0006161D"/>
    <w:rsid w:val="00063466"/>
    <w:rsid w:val="000649FD"/>
    <w:rsid w:val="00073DA9"/>
    <w:rsid w:val="000758FD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11F0C"/>
    <w:rsid w:val="00121597"/>
    <w:rsid w:val="00160997"/>
    <w:rsid w:val="001651A5"/>
    <w:rsid w:val="001733B5"/>
    <w:rsid w:val="001824EB"/>
    <w:rsid w:val="00192995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3936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4E38"/>
    <w:rsid w:val="006852C4"/>
    <w:rsid w:val="006A6B49"/>
    <w:rsid w:val="006B0E3F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E64D5"/>
    <w:rsid w:val="008F5C97"/>
    <w:rsid w:val="008F6CFB"/>
    <w:rsid w:val="0090002E"/>
    <w:rsid w:val="00913279"/>
    <w:rsid w:val="00936BFF"/>
    <w:rsid w:val="009634DD"/>
    <w:rsid w:val="009852D6"/>
    <w:rsid w:val="00992AA5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66543"/>
    <w:rsid w:val="00A7219A"/>
    <w:rsid w:val="00A73829"/>
    <w:rsid w:val="00AA04EE"/>
    <w:rsid w:val="00AE335C"/>
    <w:rsid w:val="00AE7507"/>
    <w:rsid w:val="00B03ADF"/>
    <w:rsid w:val="00B048F0"/>
    <w:rsid w:val="00B22304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97286"/>
    <w:rsid w:val="00BA39E1"/>
    <w:rsid w:val="00BB3619"/>
    <w:rsid w:val="00BB4359"/>
    <w:rsid w:val="00BB4A3A"/>
    <w:rsid w:val="00BC66CE"/>
    <w:rsid w:val="00BD68CA"/>
    <w:rsid w:val="00BF5F13"/>
    <w:rsid w:val="00C04A15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0D53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A7D4F"/>
    <w:rsid w:val="00DB2EF7"/>
    <w:rsid w:val="00DB65A6"/>
    <w:rsid w:val="00DD42B4"/>
    <w:rsid w:val="00DE18C4"/>
    <w:rsid w:val="00DE3785"/>
    <w:rsid w:val="00DE7B3A"/>
    <w:rsid w:val="00DF7AE1"/>
    <w:rsid w:val="00E014E6"/>
    <w:rsid w:val="00E0268A"/>
    <w:rsid w:val="00E06B65"/>
    <w:rsid w:val="00E12103"/>
    <w:rsid w:val="00E133F7"/>
    <w:rsid w:val="00E423F4"/>
    <w:rsid w:val="00E57C01"/>
    <w:rsid w:val="00E628A1"/>
    <w:rsid w:val="00E753EB"/>
    <w:rsid w:val="00E916A8"/>
    <w:rsid w:val="00E9498C"/>
    <w:rsid w:val="00E952A3"/>
    <w:rsid w:val="00EB3B81"/>
    <w:rsid w:val="00ED4EE4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F6475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desenlace-en-stalingrado-operacion-urano-david-glant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6B7C-8919-5642-899E-C0EE2883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30</cp:revision>
  <dcterms:created xsi:type="dcterms:W3CDTF">2019-05-21T05:00:00Z</dcterms:created>
  <dcterms:modified xsi:type="dcterms:W3CDTF">2022-05-20T21:21:00Z</dcterms:modified>
</cp:coreProperties>
</file>