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F280" w14:textId="77777777" w:rsidR="000019AE" w:rsidRPr="00F73392" w:rsidRDefault="00000000" w:rsidP="000019AE">
      <w:pPr>
        <w:ind w:left="-900" w:right="-856"/>
        <w:contextualSpacing/>
        <w:jc w:val="center"/>
        <w:rPr>
          <w:rFonts w:asciiTheme="majorHAnsi" w:hAnsiTheme="majorHAnsi"/>
          <w:b/>
          <w:color w:val="8C1A21"/>
          <w:sz w:val="28"/>
          <w:szCs w:val="28"/>
          <w:lang w:val="es-ES_tradnl"/>
        </w:rPr>
      </w:pPr>
      <w:r>
        <w:rPr>
          <w:noProof/>
        </w:rPr>
        <w:pict w14:anchorId="4FB98F41">
          <v:rect id="Rectangle 2" o:spid="_x0000_s2054" style="position:absolute;left:0;text-align:left;margin-left:-58.7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 fillcolor="#ebebeb" stroked="f">
            <v:textbox>
              <w:txbxContent>
                <w:p w14:paraId="5251DBD5" w14:textId="77777777" w:rsidR="0049431E" w:rsidRDefault="0049431E" w:rsidP="00875161">
                  <w:pPr>
                    <w:jc w:val="center"/>
                  </w:pPr>
                </w:p>
                <w:p w14:paraId="296B672D" w14:textId="77777777" w:rsidR="00867EA0" w:rsidRDefault="00867EA0"/>
              </w:txbxContent>
            </v:textbox>
          </v:rect>
        </w:pict>
      </w:r>
      <w:r w:rsidR="00992AA5" w:rsidRPr="00F73392">
        <w:rPr>
          <w:noProof/>
          <w:sz w:val="28"/>
          <w:szCs w:val="28"/>
        </w:rPr>
        <w:drawing>
          <wp:anchor distT="0" distB="0" distL="114300" distR="114300" simplePos="0" relativeHeight="251674624" behindDoc="0" locked="0" layoutInCell="1" allowOverlap="1" wp14:anchorId="1CB989C8" wp14:editId="14E776FB">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F73392" w:rsidRPr="00F73392">
        <w:rPr>
          <w:rFonts w:asciiTheme="majorHAnsi" w:hAnsiTheme="majorHAnsi"/>
          <w:b/>
          <w:noProof/>
          <w:color w:val="8C1A21"/>
          <w:sz w:val="28"/>
          <w:szCs w:val="28"/>
        </w:rPr>
        <w:t xml:space="preserve">Una Prehistoria </w:t>
      </w:r>
      <w:r w:rsidR="00F73392">
        <w:rPr>
          <w:rFonts w:asciiTheme="majorHAnsi" w:hAnsiTheme="majorHAnsi"/>
          <w:b/>
          <w:noProof/>
          <w:color w:val="8C1A21"/>
          <w:sz w:val="28"/>
          <w:szCs w:val="28"/>
        </w:rPr>
        <w:t>tan</w:t>
      </w:r>
      <w:r w:rsidR="00F73392" w:rsidRPr="00F73392">
        <w:rPr>
          <w:rFonts w:asciiTheme="majorHAnsi" w:hAnsiTheme="majorHAnsi"/>
          <w:b/>
          <w:noProof/>
          <w:color w:val="8C1A21"/>
          <w:sz w:val="28"/>
          <w:szCs w:val="28"/>
        </w:rPr>
        <w:t xml:space="preserve"> cercana (y divertida) como jamás hubieras imaginado</w:t>
      </w:r>
      <w:r w:rsidR="000019AE" w:rsidRPr="00F73392">
        <w:rPr>
          <w:rFonts w:asciiTheme="majorHAnsi" w:hAnsiTheme="majorHAnsi"/>
          <w:b/>
          <w:noProof/>
          <w:color w:val="8C1A21"/>
          <w:sz w:val="28"/>
          <w:szCs w:val="28"/>
        </w:rPr>
        <w:t xml:space="preserve"> </w:t>
      </w:r>
    </w:p>
    <w:p w14:paraId="2A28FF01" w14:textId="77777777" w:rsidR="005F431E" w:rsidRPr="00F73392" w:rsidRDefault="00BC2114" w:rsidP="00F73392">
      <w:pPr>
        <w:ind w:left="-901" w:right="-901"/>
        <w:jc w:val="center"/>
        <w:rPr>
          <w:rFonts w:asciiTheme="majorHAnsi" w:eastAsia="Times New Roman" w:hAnsiTheme="majorHAnsi" w:cs="Times New Roman"/>
          <w:b/>
          <w:sz w:val="24"/>
          <w:szCs w:val="24"/>
          <w:lang w:eastAsia="es-ES_tradnl"/>
        </w:rPr>
      </w:pPr>
      <w:r>
        <w:rPr>
          <w:rFonts w:asciiTheme="majorHAnsi" w:hAnsiTheme="majorHAnsi"/>
          <w:b/>
          <w:sz w:val="24"/>
          <w:szCs w:val="24"/>
          <w:lang w:val="es-ES_tradnl" w:eastAsia="es-ES_tradnl"/>
        </w:rPr>
        <w:t>De los yacimientos más importantes de la península ibérica como Altamira o Atapuerca a territorios inexplorados como el qué nos hace humanos, el pensamiento simbólico o el papel de la mujer; de los principales hitos de la evolución como el proceso de hominización o la extinción de los neandertales, a la destrucción de los tópicos más extendidos sobre la Prehistoria</w:t>
      </w:r>
      <w:r w:rsidR="00223DD5">
        <w:rPr>
          <w:rFonts w:asciiTheme="majorHAnsi" w:hAnsiTheme="majorHAnsi"/>
          <w:b/>
          <w:sz w:val="24"/>
          <w:szCs w:val="24"/>
          <w:lang w:val="es-ES_tradnl" w:eastAsia="es-ES_tradnl"/>
        </w:rPr>
        <w:t>…</w:t>
      </w:r>
      <w:r>
        <w:rPr>
          <w:rFonts w:asciiTheme="majorHAnsi" w:hAnsiTheme="majorHAnsi"/>
          <w:b/>
          <w:sz w:val="24"/>
          <w:szCs w:val="24"/>
          <w:lang w:val="es-ES_tradnl" w:eastAsia="es-ES_tradnl"/>
        </w:rPr>
        <w:t xml:space="preserve"> </w:t>
      </w:r>
      <w:r>
        <w:rPr>
          <w:rFonts w:asciiTheme="majorHAnsi" w:hAnsiTheme="majorHAnsi"/>
          <w:b/>
          <w:sz w:val="24"/>
          <w:szCs w:val="24"/>
          <w:lang w:eastAsia="es-ES_tradnl"/>
        </w:rPr>
        <w:t>Pedro Cifuentes, “docente-</w:t>
      </w:r>
      <w:r w:rsidRPr="004177AB">
        <w:rPr>
          <w:rFonts w:asciiTheme="majorHAnsi" w:hAnsiTheme="majorHAnsi"/>
          <w:b/>
          <w:i/>
          <w:iCs/>
          <w:sz w:val="24"/>
          <w:szCs w:val="24"/>
          <w:lang w:eastAsia="es-ES_tradnl"/>
        </w:rPr>
        <w:t>influencer</w:t>
      </w:r>
      <w:r>
        <w:rPr>
          <w:rFonts w:asciiTheme="majorHAnsi" w:hAnsiTheme="majorHAnsi"/>
          <w:b/>
          <w:iCs/>
          <w:sz w:val="24"/>
          <w:szCs w:val="24"/>
          <w:lang w:eastAsia="es-ES_tradnl"/>
        </w:rPr>
        <w:t>”</w:t>
      </w:r>
      <w:r>
        <w:rPr>
          <w:rFonts w:asciiTheme="majorHAnsi" w:hAnsiTheme="majorHAnsi"/>
          <w:b/>
          <w:sz w:val="24"/>
          <w:szCs w:val="24"/>
          <w:lang w:eastAsia="es-ES_tradnl"/>
        </w:rPr>
        <w:t xml:space="preserve"> multipremiado por su labor didáctica, aborda en </w:t>
      </w:r>
      <w:r w:rsidRPr="00BC2114">
        <w:rPr>
          <w:rFonts w:asciiTheme="majorHAnsi" w:hAnsiTheme="majorHAnsi"/>
          <w:b/>
          <w:i/>
          <w:iCs/>
          <w:sz w:val="24"/>
          <w:szCs w:val="24"/>
          <w:lang w:eastAsia="es-ES_tradnl"/>
        </w:rPr>
        <w:t>Prehistoria en la península ibérica</w:t>
      </w:r>
      <w:r>
        <w:rPr>
          <w:rFonts w:asciiTheme="majorHAnsi" w:hAnsiTheme="majorHAnsi"/>
          <w:b/>
          <w:sz w:val="24"/>
          <w:szCs w:val="24"/>
          <w:lang w:eastAsia="es-ES_tradnl"/>
        </w:rPr>
        <w:t xml:space="preserve">, volumen 1 de su nueva colección </w:t>
      </w:r>
      <w:r w:rsidRPr="00BC2114">
        <w:rPr>
          <w:rFonts w:asciiTheme="majorHAnsi" w:hAnsiTheme="majorHAnsi"/>
          <w:b/>
          <w:i/>
          <w:iCs/>
          <w:sz w:val="24"/>
          <w:szCs w:val="24"/>
          <w:lang w:eastAsia="es-ES_tradnl"/>
        </w:rPr>
        <w:t>Historia de España en cómic</w:t>
      </w:r>
      <w:r>
        <w:rPr>
          <w:rFonts w:asciiTheme="majorHAnsi" w:hAnsiTheme="majorHAnsi"/>
          <w:b/>
          <w:sz w:val="24"/>
          <w:szCs w:val="24"/>
          <w:lang w:eastAsia="es-ES_tradnl"/>
        </w:rPr>
        <w:t>, su reto más ambicioso hasta la fecha.</w:t>
      </w:r>
    </w:p>
    <w:p w14:paraId="01CB8F6D" w14:textId="77777777" w:rsidR="00A66543" w:rsidRPr="00F73392" w:rsidRDefault="000019AE" w:rsidP="00223DD5">
      <w:pPr>
        <w:ind w:left="-902" w:right="-856"/>
        <w:contextualSpacing/>
        <w:jc w:val="both"/>
        <w:rPr>
          <w:rFonts w:asciiTheme="majorHAnsi" w:hAnsiTheme="majorHAnsi"/>
          <w:sz w:val="21"/>
          <w:szCs w:val="21"/>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0ECC2CF0" wp14:editId="49E4BE0A">
            <wp:simplePos x="0" y="0"/>
            <wp:positionH relativeFrom="column">
              <wp:posOffset>-608421</wp:posOffset>
            </wp:positionH>
            <wp:positionV relativeFrom="paragraph">
              <wp:posOffset>35015</wp:posOffset>
            </wp:positionV>
            <wp:extent cx="1651000" cy="233997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000" cy="2339975"/>
                    </a:xfrm>
                    <a:prstGeom prst="rect">
                      <a:avLst/>
                    </a:prstGeom>
                    <a:ln>
                      <a:noFill/>
                    </a:ln>
                  </pic:spPr>
                </pic:pic>
              </a:graphicData>
            </a:graphic>
            <wp14:sizeRelH relativeFrom="margin">
              <wp14:pctWidth>0</wp14:pctWidth>
            </wp14:sizeRelH>
            <wp14:sizeRelV relativeFrom="margin">
              <wp14:pctHeight>0</wp14:pctHeight>
            </wp14:sizeRelV>
          </wp:anchor>
        </w:drawing>
      </w:r>
      <w:r w:rsidR="00BC2114">
        <w:rPr>
          <w:rFonts w:asciiTheme="majorHAnsi" w:hAnsiTheme="majorHAnsi"/>
          <w:sz w:val="21"/>
          <w:szCs w:val="21"/>
          <w:lang w:val="ca-ES"/>
        </w:rPr>
        <w:t>26</w:t>
      </w:r>
      <w:r w:rsidR="00A66543" w:rsidRPr="008E64D5">
        <w:rPr>
          <w:rFonts w:asciiTheme="majorHAnsi" w:hAnsiTheme="majorHAnsi"/>
          <w:sz w:val="21"/>
          <w:szCs w:val="21"/>
        </w:rPr>
        <w:t>-</w:t>
      </w:r>
      <w:r w:rsidR="00BC2114">
        <w:rPr>
          <w:rFonts w:asciiTheme="majorHAnsi" w:hAnsiTheme="majorHAnsi"/>
          <w:sz w:val="21"/>
          <w:szCs w:val="21"/>
        </w:rPr>
        <w:t>9</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Desperta Ferro Ediciones publica </w:t>
      </w:r>
      <w:r w:rsidR="00F73392">
        <w:rPr>
          <w:rFonts w:asciiTheme="majorHAnsi" w:hAnsiTheme="majorHAnsi"/>
          <w:i/>
          <w:iCs/>
          <w:sz w:val="21"/>
          <w:szCs w:val="21"/>
        </w:rPr>
        <w:t>Historia de España en cómic. Prehistoria en la península ibérica</w:t>
      </w:r>
      <w:r w:rsidR="00F73392" w:rsidRPr="00F73392">
        <w:rPr>
          <w:rFonts w:asciiTheme="majorHAnsi" w:hAnsiTheme="majorHAnsi"/>
          <w:sz w:val="21"/>
          <w:szCs w:val="21"/>
        </w:rPr>
        <w:t>, de Pedro Cifuentes</w:t>
      </w:r>
      <w:r w:rsidR="00A66543" w:rsidRPr="00F73392">
        <w:rPr>
          <w:rFonts w:asciiTheme="majorHAnsi" w:hAnsiTheme="majorHAnsi"/>
          <w:sz w:val="21"/>
          <w:szCs w:val="21"/>
        </w:rPr>
        <w:t>.</w:t>
      </w:r>
    </w:p>
    <w:p w14:paraId="7949F5B4" w14:textId="77777777" w:rsidR="00A66543" w:rsidRPr="008E64D5" w:rsidRDefault="00A66543" w:rsidP="00223DD5">
      <w:pPr>
        <w:ind w:left="-902" w:right="-856"/>
        <w:contextualSpacing/>
        <w:jc w:val="both"/>
        <w:rPr>
          <w:rFonts w:asciiTheme="majorHAnsi" w:hAnsiTheme="majorHAnsi"/>
          <w:sz w:val="21"/>
          <w:szCs w:val="21"/>
        </w:rPr>
      </w:pPr>
    </w:p>
    <w:p w14:paraId="2563E192" w14:textId="4EB0D832" w:rsidR="006F1C0E" w:rsidRPr="00F73392" w:rsidRDefault="00F73392" w:rsidP="00223DD5">
      <w:pPr>
        <w:ind w:left="-901" w:right="-901"/>
        <w:jc w:val="both"/>
        <w:rPr>
          <w:rFonts w:asciiTheme="majorHAnsi" w:hAnsiTheme="majorHAnsi"/>
          <w:sz w:val="21"/>
          <w:szCs w:val="21"/>
        </w:rPr>
      </w:pPr>
      <w:r w:rsidRPr="00F73392">
        <w:rPr>
          <w:rFonts w:asciiTheme="majorHAnsi" w:hAnsiTheme="majorHAnsi"/>
          <w:sz w:val="21"/>
          <w:szCs w:val="21"/>
        </w:rPr>
        <w:t>Entre volumen y volumen de </w:t>
      </w:r>
      <w:r w:rsidRPr="00F73392">
        <w:rPr>
          <w:rFonts w:asciiTheme="majorHAnsi" w:hAnsiTheme="majorHAnsi"/>
          <w:i/>
          <w:iCs/>
          <w:sz w:val="21"/>
          <w:szCs w:val="21"/>
        </w:rPr>
        <w:t>Historia del Arte en cómic</w:t>
      </w:r>
      <w:r w:rsidRPr="00F73392">
        <w:rPr>
          <w:rFonts w:asciiTheme="majorHAnsi" w:hAnsiTheme="majorHAnsi"/>
          <w:sz w:val="21"/>
          <w:szCs w:val="21"/>
        </w:rPr>
        <w:t>, Pedro Cifuentes pone a sus agentes de la historieta a transitar por su </w:t>
      </w:r>
      <w:r w:rsidRPr="00F73392">
        <w:rPr>
          <w:rFonts w:asciiTheme="majorHAnsi" w:hAnsiTheme="majorHAnsi"/>
          <w:i/>
          <w:iCs/>
          <w:sz w:val="21"/>
          <w:szCs w:val="21"/>
        </w:rPr>
        <w:t>Historia de España en cómic</w:t>
      </w:r>
      <w:r w:rsidRPr="00F73392">
        <w:rPr>
          <w:rFonts w:asciiTheme="majorHAnsi" w:hAnsiTheme="majorHAnsi"/>
          <w:sz w:val="21"/>
          <w:szCs w:val="21"/>
        </w:rPr>
        <w:t>, en una nueva colección que promete ser rompedora. En primer lugar, rompedora en lo formal, porque nos liamos la manta a la cabeza y nos vamos a un formato enorme, a libros de 29,7 x 42 cm de tamaño, quizá no lo más cómodo para leer en la cama, pero sin duda inmejorables para deleitarnos con los mil y un detalles que tienen las ilustraciones de Pedro. Y rompedora también en contenido, porque cada volumen de la colección contará con la asesoría de investigadores expertos en el tema en cuestión, para reflejar una historia que huya de apolillados discursos positivistas, de reyes y batallas, y que explique los procesos de fondo y otorgue su parte a los individuos habitualmente olvidados y olvidadas por la historia: la mujer, la infancia, los subalternos, los excluidos… Este primer volumen</w:t>
      </w:r>
      <w:r w:rsidR="003826B3">
        <w:rPr>
          <w:rFonts w:asciiTheme="majorHAnsi" w:hAnsiTheme="majorHAnsi"/>
          <w:sz w:val="21"/>
          <w:szCs w:val="21"/>
        </w:rPr>
        <w:t xml:space="preserve"> </w:t>
      </w:r>
      <w:r w:rsidRPr="00F73392">
        <w:rPr>
          <w:rFonts w:asciiTheme="majorHAnsi" w:hAnsiTheme="majorHAnsi"/>
          <w:sz w:val="21"/>
          <w:szCs w:val="21"/>
        </w:rPr>
        <w:t>de </w:t>
      </w:r>
      <w:r w:rsidRPr="003826B3">
        <w:rPr>
          <w:rFonts w:asciiTheme="majorHAnsi" w:hAnsiTheme="majorHAnsi"/>
          <w:i/>
          <w:iCs/>
          <w:sz w:val="21"/>
          <w:szCs w:val="21"/>
        </w:rPr>
        <w:t>Historia de España en cómic</w:t>
      </w:r>
      <w:r w:rsidRPr="00F73392">
        <w:rPr>
          <w:rFonts w:asciiTheme="majorHAnsi" w:hAnsiTheme="majorHAnsi"/>
          <w:sz w:val="21"/>
          <w:szCs w:val="21"/>
        </w:rPr>
        <w:t> estará dedicado a la Prehistoria, desde la hominización a la Edad de Bronce, y entreteje el discurso cronológico con la explicación de los procesos de cambio que acontecen a lo largo de tantos milenios, para responder a cuestiones como qué es lo que nos hace humanos, el nacimiento del pensamiento simbólico, el origen y expansión de los mitos, la aparición de las desigualdades y las jerarquías, etc. Los principales yacimientos de nuestro país –de Atapuerca y Altamira al Argar o los Millares– y las piezas arqueológicas más destacadas se ponen de relieve, pero también nos asomaremos a un laboratorio y al trabajo científico para entender las técnicas que nos permiten conocer, cada vez mejor, la vida en la Prehistoria. Mamuts y osos de las cavernas, neandertales y </w:t>
      </w:r>
      <w:r w:rsidRPr="003826B3">
        <w:rPr>
          <w:rFonts w:asciiTheme="majorHAnsi" w:hAnsiTheme="majorHAnsi"/>
          <w:i/>
          <w:iCs/>
          <w:sz w:val="21"/>
          <w:szCs w:val="21"/>
        </w:rPr>
        <w:t>Sapiens Sapiens</w:t>
      </w:r>
      <w:r w:rsidRPr="00F73392">
        <w:rPr>
          <w:rFonts w:asciiTheme="majorHAnsi" w:hAnsiTheme="majorHAnsi"/>
          <w:sz w:val="21"/>
          <w:szCs w:val="21"/>
        </w:rPr>
        <w:t>, pinturas rupestres y megalitos…¡en un cómic que marcará época!</w:t>
      </w:r>
    </w:p>
    <w:p w14:paraId="03D16D18" w14:textId="77777777" w:rsidR="00875F7E" w:rsidRPr="00F73392" w:rsidRDefault="000019AE" w:rsidP="00223DD5">
      <w:pPr>
        <w:ind w:left="-901" w:right="-901"/>
        <w:jc w:val="both"/>
        <w:rPr>
          <w:rFonts w:asciiTheme="majorHAnsi" w:hAnsiTheme="majorHAnsi"/>
          <w:sz w:val="21"/>
          <w:szCs w:val="21"/>
        </w:rPr>
      </w:pPr>
      <w:r w:rsidRPr="00F73392">
        <w:rPr>
          <w:rFonts w:asciiTheme="majorHAnsi" w:hAnsiTheme="majorHAnsi"/>
          <w:b/>
          <w:bCs/>
          <w:noProof/>
          <w:sz w:val="21"/>
          <w:szCs w:val="21"/>
        </w:rPr>
        <w:drawing>
          <wp:anchor distT="0" distB="0" distL="114300" distR="114300" simplePos="0" relativeHeight="251673600" behindDoc="0" locked="0" layoutInCell="1" allowOverlap="1" wp14:anchorId="675B7114" wp14:editId="3A0DF83D">
            <wp:simplePos x="0" y="0"/>
            <wp:positionH relativeFrom="column">
              <wp:posOffset>-543560</wp:posOffset>
            </wp:positionH>
            <wp:positionV relativeFrom="paragraph">
              <wp:posOffset>27305</wp:posOffset>
            </wp:positionV>
            <wp:extent cx="1021715" cy="92011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21715" cy="920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3392" w:rsidRPr="00F73392">
        <w:rPr>
          <w:rFonts w:asciiTheme="majorHAnsi" w:hAnsiTheme="majorHAnsi"/>
          <w:b/>
          <w:bCs/>
          <w:sz w:val="21"/>
          <w:szCs w:val="21"/>
        </w:rPr>
        <w:t>Pedro Cifuentes</w:t>
      </w:r>
      <w:r w:rsidR="00F73392" w:rsidRPr="00F73392">
        <w:rPr>
          <w:rFonts w:asciiTheme="majorHAnsi" w:hAnsiTheme="majorHAnsi"/>
          <w:sz w:val="21"/>
          <w:szCs w:val="21"/>
        </w:rPr>
        <w:t> es profesor de secundaria, y un apasionado del cómic. Su labor como introductor y divulgador del uso del cómic con finalidad didáctica ha sido reconocida con el Premio Nacional de Educación para el Desarrollo (2010), el Premio Materiales Didácticos Comunitat Valenciana (2011) y el Premio al Profesor Destacado de la Generalitat Valenciana (2019). Famoso ya por sus contenidos docentes virales en redes sociales, protagoniza además frecuentes charlas y ponencias sobre innovación educativa, shows de </w:t>
      </w:r>
      <w:r w:rsidR="00F73392" w:rsidRPr="001830B8">
        <w:rPr>
          <w:rFonts w:asciiTheme="majorHAnsi" w:hAnsiTheme="majorHAnsi"/>
          <w:i/>
          <w:iCs/>
          <w:sz w:val="21"/>
          <w:szCs w:val="21"/>
        </w:rPr>
        <w:t>sketching</w:t>
      </w:r>
      <w:r w:rsidR="00F73392" w:rsidRPr="00F73392">
        <w:rPr>
          <w:rFonts w:asciiTheme="majorHAnsi" w:hAnsiTheme="majorHAnsi"/>
          <w:sz w:val="21"/>
          <w:szCs w:val="21"/>
        </w:rPr>
        <w:t> en vivo, talleres sobre </w:t>
      </w:r>
      <w:r w:rsidR="00F73392" w:rsidRPr="001830B8">
        <w:rPr>
          <w:rFonts w:asciiTheme="majorHAnsi" w:hAnsiTheme="majorHAnsi"/>
          <w:i/>
          <w:iCs/>
          <w:sz w:val="21"/>
          <w:szCs w:val="21"/>
        </w:rPr>
        <w:t>Visual Thinking</w:t>
      </w:r>
      <w:r w:rsidR="00F73392" w:rsidRPr="00F73392">
        <w:rPr>
          <w:rFonts w:asciiTheme="majorHAnsi" w:hAnsiTheme="majorHAnsi"/>
          <w:sz w:val="21"/>
          <w:szCs w:val="21"/>
        </w:rPr>
        <w:t xml:space="preserve"> o ludificación en el aula. </w:t>
      </w:r>
    </w:p>
    <w:p w14:paraId="1452D709" w14:textId="77777777" w:rsidR="0049431E" w:rsidRPr="00F73392" w:rsidRDefault="00094488" w:rsidP="001830B8">
      <w:pPr>
        <w:ind w:left="-907" w:right="-901"/>
        <w:jc w:val="both"/>
        <w:rPr>
          <w:rFonts w:asciiTheme="majorHAnsi" w:hAnsiTheme="majorHAnsi"/>
          <w:b/>
          <w:bCs/>
          <w:color w:val="C00000"/>
          <w:sz w:val="21"/>
          <w:szCs w:val="21"/>
        </w:rPr>
      </w:pPr>
      <w:r w:rsidRPr="00F73392">
        <w:rPr>
          <w:rFonts w:asciiTheme="majorHAnsi" w:hAnsiTheme="majorHAnsi"/>
          <w:sz w:val="21"/>
          <w:szCs w:val="21"/>
        </w:rPr>
        <w:t>En librerías</w:t>
      </w:r>
      <w:r w:rsidR="0035072A" w:rsidRPr="00F73392">
        <w:rPr>
          <w:rFonts w:asciiTheme="majorHAnsi" w:hAnsiTheme="majorHAnsi"/>
          <w:sz w:val="21"/>
          <w:szCs w:val="21"/>
        </w:rPr>
        <w:t xml:space="preserve"> el </w:t>
      </w:r>
      <w:r w:rsidR="00DB2EF7" w:rsidRPr="00F73392">
        <w:rPr>
          <w:rFonts w:asciiTheme="majorHAnsi" w:hAnsiTheme="majorHAnsi"/>
          <w:sz w:val="21"/>
          <w:szCs w:val="21"/>
        </w:rPr>
        <w:t>miércoles</w:t>
      </w:r>
      <w:r w:rsidR="00083532" w:rsidRPr="00F73392">
        <w:rPr>
          <w:rFonts w:asciiTheme="majorHAnsi" w:hAnsiTheme="majorHAnsi"/>
          <w:sz w:val="21"/>
          <w:szCs w:val="21"/>
        </w:rPr>
        <w:t xml:space="preserve"> </w:t>
      </w:r>
      <w:r w:rsidR="00F73392" w:rsidRPr="00F73392">
        <w:rPr>
          <w:rFonts w:asciiTheme="majorHAnsi" w:hAnsiTheme="majorHAnsi"/>
          <w:sz w:val="21"/>
          <w:szCs w:val="21"/>
        </w:rPr>
        <w:t>5</w:t>
      </w:r>
      <w:r w:rsidR="00083532" w:rsidRPr="00F73392">
        <w:rPr>
          <w:rFonts w:asciiTheme="majorHAnsi" w:hAnsiTheme="majorHAnsi"/>
          <w:sz w:val="21"/>
          <w:szCs w:val="21"/>
        </w:rPr>
        <w:t xml:space="preserve"> de </w:t>
      </w:r>
      <w:r w:rsidR="00F73392" w:rsidRPr="00F73392">
        <w:rPr>
          <w:rFonts w:asciiTheme="majorHAnsi" w:hAnsiTheme="majorHAnsi"/>
          <w:sz w:val="21"/>
          <w:szCs w:val="21"/>
        </w:rPr>
        <w:t>octubre</w:t>
      </w:r>
      <w:r w:rsidR="006D4CF1" w:rsidRPr="00F73392">
        <w:rPr>
          <w:rFonts w:asciiTheme="majorHAnsi" w:hAnsiTheme="majorHAnsi"/>
          <w:sz w:val="21"/>
          <w:szCs w:val="21"/>
        </w:rPr>
        <w:t xml:space="preserve">. Pincha en este </w:t>
      </w:r>
      <w:hyperlink r:id="rId11" w:history="1">
        <w:r w:rsidR="006D4CF1" w:rsidRPr="00F73392">
          <w:rPr>
            <w:rStyle w:val="Hipervnculo"/>
            <w:rFonts w:asciiTheme="majorHAnsi" w:hAnsiTheme="majorHAnsi"/>
            <w:sz w:val="21"/>
            <w:szCs w:val="21"/>
          </w:rPr>
          <w:t>enlace</w:t>
        </w:r>
      </w:hyperlink>
      <w:r w:rsidR="0049431E" w:rsidRPr="00F73392">
        <w:rPr>
          <w:rFonts w:asciiTheme="majorHAnsi" w:hAnsiTheme="majorHAnsi"/>
          <w:sz w:val="21"/>
          <w:szCs w:val="21"/>
        </w:rPr>
        <w:t xml:space="preserve"> para obtene</w:t>
      </w:r>
      <w:r w:rsidR="006D4CF1" w:rsidRPr="00F73392">
        <w:rPr>
          <w:rFonts w:asciiTheme="majorHAnsi" w:hAnsiTheme="majorHAnsi"/>
          <w:sz w:val="21"/>
          <w:szCs w:val="21"/>
        </w:rPr>
        <w:t xml:space="preserve">r más información sobre la obra y </w:t>
      </w:r>
      <w:hyperlink r:id="rId12" w:anchor="catalogo-de-publicaciones" w:history="1">
        <w:r w:rsidR="006D4CF1" w:rsidRPr="00F73392">
          <w:rPr>
            <w:rStyle w:val="Hipervnculo"/>
            <w:rFonts w:asciiTheme="majorHAnsi" w:hAnsiTheme="majorHAnsi"/>
            <w:sz w:val="21"/>
            <w:szCs w:val="21"/>
          </w:rPr>
          <w:t>aquí</w:t>
        </w:r>
      </w:hyperlink>
      <w:r w:rsidR="006D4CF1" w:rsidRPr="00F73392">
        <w:rPr>
          <w:rFonts w:asciiTheme="majorHAnsi" w:hAnsiTheme="majorHAnsi"/>
          <w:sz w:val="21"/>
          <w:szCs w:val="21"/>
        </w:rPr>
        <w:t xml:space="preserve"> para consultar nuestro Catálogo de publicaciones.</w:t>
      </w:r>
    </w:p>
    <w:p w14:paraId="49103947"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E723DCD" w14:textId="77777777" w:rsidR="00777478" w:rsidRPr="00AA04EE" w:rsidRDefault="00000000" w:rsidP="0049431E">
      <w:pPr>
        <w:ind w:left="-900" w:right="-856"/>
        <w:rPr>
          <w:rFonts w:asciiTheme="majorHAnsi" w:hAnsiTheme="majorHAnsi" w:cs="Times New Roman"/>
          <w:iCs/>
          <w:sz w:val="16"/>
          <w:szCs w:val="18"/>
          <w:lang w:val="ca-ES"/>
        </w:rPr>
      </w:pPr>
      <w:r>
        <w:rPr>
          <w:noProof/>
        </w:rPr>
        <w:pict w14:anchorId="44F90C2F">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4.2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DcDEY6AAAABABAAAPAAAAZHJzL2Rvd25yZXYueG1sTI9PS8NAEMXvgt9h&#10;GcFbu2lrQpJmU0qkCKKH1l68TbLbJLh/YnbbRj+940kvA8P83pv3is1kNLuo0ffOCljMI2DKNk72&#10;thVwfNvNUmA+oJWonVUCvpSHTXl7U2Au3dXu1eUQWkYm1ucooAthyDn3TacM+rkblKXbyY0GA61j&#10;y+WIVzI3mi+jKOEGe0sfOhxU1anm43A2Ap6r3Svu66VJv3X19HLaDp/H91iI+7vpcU1juwYW1BT+&#10;FPDbgfJDScFqd7bSMy1gtlhFK2IFpGkMjIjsIcmA1YRmSQy8LPj/IuUPAAAA//8DAFBLAQItABQA&#10;BgAIAAAAIQC2gziS/gAAAOEBAAATAAAAAAAAAAAAAAAAAAAAAABbQ29udGVudF9UeXBlc10ueG1s&#10;UEsBAi0AFAAGAAgAAAAhADj9If/WAAAAlAEAAAsAAAAAAAAAAAAAAAAALwEAAF9yZWxzLy5yZWxz&#10;UEsBAi0AFAAGAAgAAAAhABMtI7RTAgAAngQAAA4AAAAAAAAAAAAAAAAALgIAAGRycy9lMm9Eb2Mu&#10;eG1sUEsBAi0AFAAGAAgAAAAhAMNwMRjoAAAAEAEAAA8AAAAAAAAAAAAAAAAArQQAAGRycy9kb3du&#10;cmV2LnhtbFBLBQYAAAAABAAEAPMAAADCBQAAAAA=&#10;" filled="f" stroked="f" strokeweight=".5pt">
            <v:textbox>
              <w:txbxContent>
                <w:p w14:paraId="01A5AB2F"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2155409E" wp14:editId="5E9CA33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3A2D9F0A">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0FCB70C7"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03D8C428" wp14:editId="2DE9E5EF">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033B0F5D">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720D75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0126CC88" wp14:editId="4881348E">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094E8CD2" w14:textId="77777777" w:rsidR="0049431E" w:rsidRDefault="0049431E" w:rsidP="00A33011">
                  <w:pPr>
                    <w:spacing w:line="240" w:lineRule="auto"/>
                    <w:jc w:val="center"/>
                    <w:rPr>
                      <w:sz w:val="32"/>
                      <w:szCs w:val="32"/>
                    </w:rPr>
                  </w:pPr>
                </w:p>
              </w:txbxContent>
            </v:textbox>
          </v:rect>
        </w:pict>
      </w:r>
      <w:r>
        <w:rPr>
          <w:noProof/>
        </w:rPr>
        <w:pict w14:anchorId="0BC91644">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484F3F7F"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FC9F971" wp14:editId="2273186E">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43C4D4"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E384" w14:textId="77777777" w:rsidR="00D266F5" w:rsidRDefault="00D266F5" w:rsidP="008B076F">
      <w:pPr>
        <w:spacing w:after="0" w:line="240" w:lineRule="auto"/>
      </w:pPr>
      <w:r>
        <w:separator/>
      </w:r>
    </w:p>
  </w:endnote>
  <w:endnote w:type="continuationSeparator" w:id="0">
    <w:p w14:paraId="15BEB538" w14:textId="77777777" w:rsidR="00D266F5" w:rsidRDefault="00D266F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LiberationSerif-Regular">
    <w:altName w:val="MS Gothic"/>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6CD4" w14:textId="77777777" w:rsidR="00D266F5" w:rsidRDefault="00D266F5" w:rsidP="008B076F">
      <w:pPr>
        <w:spacing w:after="0" w:line="240" w:lineRule="auto"/>
      </w:pPr>
      <w:r>
        <w:separator/>
      </w:r>
    </w:p>
  </w:footnote>
  <w:footnote w:type="continuationSeparator" w:id="0">
    <w:p w14:paraId="65F5621B" w14:textId="77777777" w:rsidR="00D266F5" w:rsidRDefault="00D266F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4BA1F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6A8033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1448420">
    <w:abstractNumId w:val="5"/>
  </w:num>
  <w:num w:numId="2" w16cid:durableId="2119173402">
    <w:abstractNumId w:val="4"/>
  </w:num>
  <w:num w:numId="3" w16cid:durableId="266734869">
    <w:abstractNumId w:val="3"/>
  </w:num>
  <w:num w:numId="4" w16cid:durableId="87509588">
    <w:abstractNumId w:val="2"/>
  </w:num>
  <w:num w:numId="5" w16cid:durableId="1229725215">
    <w:abstractNumId w:val="0"/>
  </w:num>
  <w:num w:numId="6" w16cid:durableId="135989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19AE"/>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60997"/>
    <w:rsid w:val="001651A5"/>
    <w:rsid w:val="001733B5"/>
    <w:rsid w:val="001824EB"/>
    <w:rsid w:val="001830B8"/>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23DD5"/>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826B3"/>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2994"/>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E363E"/>
    <w:rsid w:val="007F5667"/>
    <w:rsid w:val="007F76E5"/>
    <w:rsid w:val="0080145D"/>
    <w:rsid w:val="00804257"/>
    <w:rsid w:val="00807B9A"/>
    <w:rsid w:val="00810BD9"/>
    <w:rsid w:val="00812E68"/>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73E3E"/>
    <w:rsid w:val="00B943E9"/>
    <w:rsid w:val="00B95846"/>
    <w:rsid w:val="00B97286"/>
    <w:rsid w:val="00BA39E1"/>
    <w:rsid w:val="00BB3619"/>
    <w:rsid w:val="00BB4359"/>
    <w:rsid w:val="00BB4A3A"/>
    <w:rsid w:val="00BC2114"/>
    <w:rsid w:val="00BC66CE"/>
    <w:rsid w:val="00BD68CA"/>
    <w:rsid w:val="00BF5F13"/>
    <w:rsid w:val="00C04A15"/>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266F5"/>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C1B00"/>
    <w:rsid w:val="00ED4EE4"/>
    <w:rsid w:val="00EE04E2"/>
    <w:rsid w:val="00EF48A4"/>
    <w:rsid w:val="00EF56B0"/>
    <w:rsid w:val="00EF7B71"/>
    <w:rsid w:val="00F061CB"/>
    <w:rsid w:val="00F378A8"/>
    <w:rsid w:val="00F42647"/>
    <w:rsid w:val="00F47BF5"/>
    <w:rsid w:val="00F516D6"/>
    <w:rsid w:val="00F70AAF"/>
    <w:rsid w:val="00F73392"/>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96A78F"/>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52085977">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411079913">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15617612">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historia-de-espana-en-comic-vol-1-prehistoria-en-la-peninsula-iberica-pedro-cifuentes/"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B2967-2BD1-6544-9524-E9725629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591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36</cp:revision>
  <dcterms:created xsi:type="dcterms:W3CDTF">2019-05-21T05:00:00Z</dcterms:created>
  <dcterms:modified xsi:type="dcterms:W3CDTF">2022-09-27T07:53:00Z</dcterms:modified>
</cp:coreProperties>
</file>